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Distribution before winsorizing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Variable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N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Mean 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St.Dev 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Min 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Med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Max 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Employment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109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419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.085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12,593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Fixed Capital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15854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21,221,123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114,118,332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5,037,876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4,912,928,768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Sales revenue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5,575,051,514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40,433,069,880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241,306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985,375,616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1,330,126,520,320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Labour cost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531,519,815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4,162,492,250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15,548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132,238,760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158,552,522,752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Cost of sales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3,638,684,900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29,109,945,856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105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272,219,040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955,004,485,632</w:t>
            </w: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Fraction Affected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.54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.34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.64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</w:t>
            </w:r>
          </w:p>
        </w:tc>
      </w:tr>
      <w:tr>
        <w:tc>
          <w:tcPr>
            <w:gridSpan w:val="7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 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Distribution after winsorizing (1%)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Variable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N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Mean 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St.Dev 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Min 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Med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Max 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Employment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92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223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.99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1,873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Fixed Capital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21,551,376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46,581,120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8,922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5,329,932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316,025,408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Sales revenue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3,546,669,420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8,405,712,335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10,052,133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985,375,616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72,616,443,904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Labour cost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354,669,063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708,774,897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3,303,740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132,238,760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5,494,793,728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Cost of sales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2,188,487,179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6,623,633,886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88,173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272,219,040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58,692,005,888</w:t>
            </w: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Fraction Affected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16259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.54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.34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.64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</w:t>
            </w:r>
          </w:p>
        </w:tc>
      </w:tr>
      <w:tr>
        <w:tc>
          <w:tcPr>
            <w:gridSpan w:val="7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 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2340"/>
        <w:gridCol w:w="2340"/>
        <w:gridCol w:w="2340"/>
        <w:gridCol w:w="2340"/>
      </w:tblGrid>
      <w:tr>
        <w:tc>
          <w:tcPr>
            <w:gridSpan w:val="4"/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Exit and survivor frequencies</w:t>
            </w:r>
          </w:p>
        </w:tc>
      </w:tr>
      <w:tr>
        <w:tc>
          <w:tcPr>
            <w:tcW w:w="234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Exited</w:t>
            </w:r>
          </w:p>
        </w:tc>
        <w:tc>
          <w:tcPr>
            <w:tcW w:w="234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Survived</w:t>
            </w:r>
          </w:p>
        </w:tc>
        <w:tc>
          <w:tcPr>
            <w:tcW w:w="2340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Total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Micro firms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489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17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506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Small firms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1,099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183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1,282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Medium to large firms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1,578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414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1,992</w:t>
            </w: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Total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3,166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614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3,780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gridSpan w:val="5"/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Exposure intensity</w:t>
            </w:r>
          </w:p>
        </w:tc>
      </w:tr>
      <w:tr>
        <w:tc>
          <w:tcPr>
            <w:tcW w:w="187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 </w:t>
            </w:r>
          </w:p>
        </w:tc>
        <w:tc>
          <w:tcPr>
            <w:tcW w:w="187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FA&lt;=.077</w:t>
            </w:r>
          </w:p>
        </w:tc>
        <w:tc>
          <w:tcPr>
            <w:tcW w:w="187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.077 &lt;FA =&lt; .82</w:t>
            </w:r>
          </w:p>
        </w:tc>
        <w:tc>
          <w:tcPr>
            <w:tcW w:w="187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FA&gt; .82</w:t>
            </w:r>
          </w:p>
        </w:tc>
        <w:tc>
          <w:tcPr>
            <w:tcW w:w="1872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Total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Micro firms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225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171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110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506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Small firms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317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630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335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1,282</w:t>
            </w:r>
          </w:p>
        </w:tc>
      </w:tr>
      <w:tr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Medium to large firms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379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1,111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502</w:t>
            </w:r>
          </w:p>
        </w:tc>
        <w:tc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1,992</w:t>
            </w:r>
          </w:p>
        </w:tc>
      </w:tr>
      <w:tr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Total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921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1,912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947</w:t>
            </w:r>
          </w:p>
        </w:tc>
        <w:tc>
          <w:tcPr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light" w:hAnsi="calibri light" w:eastAsia="calibri light" w:cs="calibri light"/>
                <w:sz w:val="18"/>
              </w:rPr>
              <w:t xml:space="preserve">3,780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