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エディタ制(仮称)について</w:t>
      </w:r>
    </w:p>
    <w:p>
      <w:pPr>
        <w:pStyle w:val="Author"/>
      </w:pPr>
      <w:r>
        <w:t xml:space="preserve">成果検討分科会</w:t>
      </w:r>
      <w:r>
        <w:t xml:space="preserve"> </w:t>
      </w:r>
      <w:r>
        <w:t xml:space="preserve">伊藤成朗</w:t>
      </w:r>
    </w:p>
    <w:p>
      <w:pPr>
        <w:pStyle w:val="Date"/>
      </w:pPr>
      <w:r>
        <w:t xml:space="preserve">April</w:t>
      </w:r>
      <w:r>
        <w:t xml:space="preserve"> </w:t>
      </w:r>
      <w:r>
        <w:t xml:space="preserve">04,</w:t>
      </w:r>
      <w:r>
        <w:t xml:space="preserve"> </w:t>
      </w:r>
      <w:r>
        <w:t xml:space="preserve">2025,</w:t>
      </w:r>
      <w:r>
        <w:t xml:space="preserve"> </w:t>
      </w:r>
      <w:r>
        <w:t xml:space="preserve">11:04</w:t>
      </w:r>
      <w:r>
        <w:t xml:space="preserve"> </w:t>
      </w:r>
      <w:r>
        <w:t xml:space="preserve">+0900</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成果検討過程の役割</w:t>
            </w:r>
          </w:p>
          <w:p>
            <w:pPr>
              <w:pStyle w:val="BodyText"/>
            </w:pPr>
            <w:pPr>
              <w:spacing w:before="16" w:after="16"/>
            </w:pPr>
            <w:r>
              <w:t xml:space="preserve">質の高い研究成果のみを年度内に出版すること</w:t>
            </w:r>
          </w:p>
        </w:tc>
      </w:tr>
    </w:tbl>
    <w:bookmarkStart w:id="20" w:name="役割"/>
    <w:p>
      <w:pPr>
        <w:pStyle w:val="Heading1"/>
      </w:pPr>
      <w:r>
        <w:t xml:space="preserve">役割</w:t>
      </w:r>
    </w:p>
    <w:p>
      <w:pPr>
        <w:pStyle w:val="Compact"/>
        <w:numPr>
          <w:ilvl w:val="0"/>
          <w:numId w:val="1001"/>
        </w:numPr>
      </w:pPr>
      <w:r>
        <w:t xml:space="preserve">スケジュール管理</w:t>
      </w:r>
    </w:p>
    <w:p>
      <w:pPr>
        <w:pStyle w:val="Compact"/>
        <w:numPr>
          <w:ilvl w:val="0"/>
          <w:numId w:val="1001"/>
        </w:numPr>
      </w:pPr>
      <w:r>
        <w:t xml:space="preserve">対話の齟齬を減らす</w:t>
      </w:r>
    </w:p>
    <w:bookmarkEnd w:id="20"/>
    <w:bookmarkStart w:id="21" w:name="目的"/>
    <w:p>
      <w:pPr>
        <w:pStyle w:val="Heading1"/>
      </w:pPr>
      <w:r>
        <w:t xml:space="preserve">目的</w:t>
      </w:r>
    </w:p>
    <w:p>
      <w:pPr>
        <w:pStyle w:val="Compact"/>
        <w:numPr>
          <w:ilvl w:val="0"/>
          <w:numId w:val="1002"/>
        </w:numPr>
      </w:pPr>
      <w:r>
        <w:t xml:space="preserve">年度内出版を実現すること</w:t>
      </w:r>
    </w:p>
    <w:p>
      <w:pPr>
        <w:pStyle w:val="Compact"/>
        <w:numPr>
          <w:ilvl w:val="0"/>
          <w:numId w:val="1002"/>
        </w:numPr>
      </w:pPr>
      <w:r>
        <w:t xml:space="preserve">成果の質や完成度を高めること</w:t>
      </w:r>
    </w:p>
    <w:p>
      <w:pPr>
        <w:pStyle w:val="Compact"/>
        <w:numPr>
          <w:ilvl w:val="1"/>
          <w:numId w:val="1003"/>
        </w:numPr>
      </w:pPr>
      <w:r>
        <w:rPr>
          <w:b/>
          <w:bCs/>
        </w:rPr>
        <w:t xml:space="preserve">対話齟齬による時間損失を減らし、成果改善の時間を増やす</w:t>
      </w:r>
      <w:r>
        <w:t xml:space="preserve">こと</w:t>
      </w:r>
    </w:p>
    <w:p>
      <w:pPr>
        <w:pStyle w:val="Compact"/>
        <w:numPr>
          <w:ilvl w:val="1"/>
          <w:numId w:val="1003"/>
        </w:numPr>
      </w:pPr>
      <w:r>
        <w:t xml:space="preserve">校正担当者の負担を減らすこと</w:t>
      </w:r>
    </w:p>
    <w:bookmarkEnd w:id="21"/>
    <w:bookmarkStart w:id="22" w:name="背景動機"/>
    <w:p>
      <w:pPr>
        <w:pStyle w:val="Heading1"/>
      </w:pPr>
      <w:r>
        <w:t xml:space="preserve">背景・動機</w:t>
      </w:r>
    </w:p>
    <w:p>
      <w:pPr>
        <w:pStyle w:val="FirstParagraph"/>
      </w:pPr>
      <w:r>
        <w:t xml:space="preserve">担当者不在の体制</w:t>
      </w:r>
    </w:p>
    <w:p>
      <w:pPr>
        <w:pStyle w:val="Compact"/>
        <w:numPr>
          <w:ilvl w:val="0"/>
          <w:numId w:val="1004"/>
        </w:numPr>
      </w:pPr>
      <w:r>
        <w:t xml:space="preserve">座長が担当者</w:t>
      </w:r>
    </w:p>
    <w:p>
      <w:pPr>
        <w:pStyle w:val="Compact"/>
        <w:numPr>
          <w:ilvl w:val="1"/>
          <w:numId w:val="1005"/>
        </w:numPr>
      </w:pPr>
      <w:r>
        <w:t xml:space="preserve">多岐にわたる内容と多くの分量: 座長の能力を超える</w:t>
      </w:r>
    </w:p>
    <w:p>
      <w:pPr>
        <w:pStyle w:val="Compact"/>
        <w:numPr>
          <w:ilvl w:val="1"/>
          <w:numId w:val="1005"/>
        </w:numPr>
      </w:pPr>
      <w:r>
        <w:t xml:space="preserve">検討過程の生産性?</w:t>
      </w:r>
    </w:p>
    <w:p>
      <w:pPr>
        <w:pStyle w:val="Compact"/>
        <w:numPr>
          <w:ilvl w:val="1"/>
          <w:numId w:val="1005"/>
        </w:numPr>
      </w:pPr>
      <w:r>
        <w:t xml:space="preserve">座長が替わると監理基準も(時間を通じた公平性)?</w:t>
      </w:r>
    </w:p>
    <w:p>
      <w:pPr>
        <w:pStyle w:val="Compact"/>
        <w:numPr>
          <w:ilvl w:val="0"/>
          <w:numId w:val="1004"/>
        </w:numPr>
      </w:pPr>
      <w:r>
        <w:t xml:space="preserve">全員が全部を把握</w:t>
      </w:r>
    </w:p>
    <w:p>
      <w:pPr>
        <w:pStyle w:val="Compact"/>
        <w:numPr>
          <w:ilvl w:val="1"/>
          <w:numId w:val="1006"/>
        </w:numPr>
      </w:pPr>
      <w:r>
        <w:t xml:space="preserve">意識が散漫</w:t>
      </w:r>
    </w:p>
    <w:p>
      <w:pPr>
        <w:pStyle w:val="Compact"/>
        <w:numPr>
          <w:ilvl w:val="1"/>
          <w:numId w:val="1006"/>
        </w:numPr>
      </w:pPr>
      <w:r>
        <w:t xml:space="preserve">大過ないものは手分け</w:t>
      </w:r>
    </w:p>
    <w:p>
      <w:pPr>
        <w:pStyle w:val="Compact"/>
        <w:numPr>
          <w:ilvl w:val="1"/>
          <w:numId w:val="1006"/>
        </w:numPr>
      </w:pPr>
      <w:r>
        <w:t xml:space="preserve">課題ありを全員で考える</w:t>
      </w:r>
    </w:p>
    <w:bookmarkEnd w:id="22"/>
    <w:bookmarkStart w:id="30" w:name="エディタ仮称とは"/>
    <w:p>
      <w:pPr>
        <w:pStyle w:val="Heading1"/>
      </w:pPr>
      <w:r>
        <w:t xml:space="preserve">エディタ(仮称)とは</w:t>
      </w:r>
    </w:p>
    <w:bookmarkStart w:id="25" w:name="エディタがすべきこと"/>
    <w:p>
      <w:pPr>
        <w:pStyle w:val="Heading2"/>
      </w:pPr>
      <w:r>
        <w:t xml:space="preserve">エディタがすべきこと</w:t>
      </w:r>
    </w:p>
    <w:p>
      <w:pPr>
        <w:pStyle w:val="Compact"/>
        <w:numPr>
          <w:ilvl w:val="0"/>
          <w:numId w:val="1007"/>
        </w:numPr>
      </w:pPr>
      <w:r>
        <w:t xml:space="preserve">検討者指摘と研究会対応の完・未了チェック</w:t>
      </w:r>
    </w:p>
    <w:p>
      <w:pPr>
        <w:pStyle w:val="Compact"/>
        <w:numPr>
          <w:ilvl w:val="0"/>
          <w:numId w:val="1007"/>
        </w:numPr>
      </w:pPr>
      <w:r>
        <w:t xml:space="preserve">研検間対話の円滑化、意見不一致のまとめ、検討者指摘と研究会対応の正当性監視、分科会への報告</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対話を円滑にするためにエディタができること</w:t>
            </w:r>
          </w:p>
          <w:p>
            <w:pPr>
              <w:pStyle w:val="Compact"/>
              <w:numPr>
                <w:ilvl w:val="0"/>
                <w:numId w:val="1008"/>
              </w:numPr>
            </w:pPr>
            <w:r>
              <w:t xml:space="preserve">明確化: 検討者の指摘事項、著者の修正事項、何をどのように変更すべきか/したか、なぜか</w:t>
            </w:r>
          </w:p>
          <w:p>
            <w:pPr>
              <w:pStyle w:val="Compact"/>
              <w:numPr>
                <w:ilvl w:val="0"/>
                <w:numId w:val="1008"/>
              </w:numPr>
            </w:pPr>
            <w:r>
              <w:t xml:space="preserve">履歴の維持: 原則的に追加の指摘を認めない、(指摘対応以外も含め)論旨に関わる内容修正を明記させる</w:t>
            </w:r>
          </w:p>
          <w:p>
            <w:pPr>
              <w:pStyle w:val="Compact"/>
              <w:numPr>
                <w:ilvl w:val="0"/>
                <w:numId w:val="1008"/>
              </w:numPr>
            </w:pPr>
            <w:r>
              <w:t xml:space="preserve">検討過程での表現の穏当さも「編集」</w:t>
            </w:r>
          </w:p>
          <w:p>
            <w:pPr>
              <w:pStyle w:val="Compact"/>
              <w:numPr>
                <w:ilvl w:val="1"/>
                <w:numId w:val="1009"/>
              </w:numPr>
            </w:pPr>
            <w:hyperlink r:id="rId23">
              <w:r>
                <w:rPr>
                  <w:rStyle w:val="Hyperlink"/>
                </w:rPr>
                <w:t xml:space="preserve">事故によって自分の名前で公開されたときにも困らない表現や論調を堅持</w:t>
              </w:r>
            </w:hyperlink>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正当性監視</w:t>
            </w:r>
          </w:p>
          <w:p>
            <w:pPr>
              <w:pStyle w:val="Compact"/>
              <w:numPr>
                <w:ilvl w:val="0"/>
                <w:numId w:val="1010"/>
              </w:numPr>
            </w:pPr>
            <w:r>
              <w:t xml:space="preserve">考察対象の尊重: 検討者は「XではなくYを問うべきでは」など、新たな問いを立てることを要求してはいけない、提示された考察に応えるべき</w:t>
            </w:r>
          </w:p>
          <w:p>
            <w:pPr>
              <w:pStyle w:val="Compact"/>
              <w:numPr>
                <w:ilvl w:val="0"/>
                <w:numId w:val="1010"/>
              </w:numPr>
            </w:pPr>
            <w:r>
              <w:t xml:space="preserve">採否の論拠</w:t>
            </w:r>
          </w:p>
          <w:p>
            <w:pPr>
              <w:pStyle w:val="Compact"/>
              <w:numPr>
                <w:ilvl w:val="1"/>
                <w:numId w:val="1011"/>
              </w:numPr>
            </w:pPr>
            <w:r>
              <w:t xml:space="preserve">新奇性</w:t>
            </w:r>
          </w:p>
          <w:p>
            <w:pPr>
              <w:pStyle w:val="Compact"/>
              <w:numPr>
                <w:ilvl w:val="1"/>
                <w:numId w:val="1011"/>
              </w:numPr>
            </w:pPr>
            <w:r>
              <w:t xml:space="preserve">証拠や議論の質</w:t>
            </w:r>
          </w:p>
          <w:p>
            <w:pPr>
              <w:pStyle w:val="Compact"/>
              <w:numPr>
                <w:ilvl w:val="1"/>
                <w:numId w:val="1011"/>
              </w:numPr>
            </w:pPr>
            <w:r>
              <w:t xml:space="preserve">社会への貢献</w:t>
            </w:r>
          </w:p>
          <w:p>
            <w:pPr>
              <w:pStyle w:val="Compact"/>
              <w:numPr>
                <w:ilvl w:val="1"/>
                <w:numId w:val="1011"/>
              </w:numPr>
            </w:pPr>
            <w:r>
              <w:t xml:space="preserve">検討者の「学派」(意見・見方)との一致で決めない</w:t>
            </w:r>
          </w:p>
          <w:p>
            <w:pPr>
              <w:pStyle w:val="Compact"/>
              <w:numPr>
                <w:ilvl w:val="0"/>
                <w:numId w:val="1010"/>
              </w:numPr>
            </w:pPr>
            <w:r>
              <w:t xml:space="preserve">相互に矛盾する結果の消去</w:t>
            </w:r>
          </w:p>
        </w:tc>
      </w:tr>
    </w:tbl>
    <w:p>
      <w:pPr>
        <w:pStyle w:val="Compact"/>
        <w:numPr>
          <w:ilvl w:val="0"/>
          <w:numId w:val="1012"/>
        </w:numPr>
      </w:pPr>
      <w:r>
        <w:t xml:space="preserve">事務局への検討完了日変更の相談</w:t>
      </w:r>
    </w:p>
    <w:p>
      <w:pPr>
        <w:pStyle w:val="Compact"/>
        <w:numPr>
          <w:ilvl w:val="0"/>
          <w:numId w:val="1012"/>
        </w:numPr>
      </w:pPr>
      <w:r>
        <w:t xml:space="preserve">オプショナル: 検討者2名指摘の簡潔なまとめ(大きな項目提示のみ)</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まとめ例</w:t>
            </w:r>
          </w:p>
          <w:p>
            <w:pPr>
              <w:pStyle w:val="Compact"/>
              <w:numPr>
                <w:ilvl w:val="0"/>
                <w:numId w:val="1013"/>
              </w:numPr>
            </w:pPr>
            <w:r>
              <w:t xml:space="preserve">例1</w:t>
            </w:r>
          </w:p>
          <w:p>
            <w:pPr>
              <w:pStyle w:val="Compact"/>
              <w:numPr>
                <w:ilvl w:val="1"/>
                <w:numId w:val="1014"/>
              </w:numPr>
            </w:pPr>
            <w:r>
              <w:t xml:space="preserve">推計において効果多様性を検討すること</w:t>
            </w:r>
          </w:p>
          <w:p>
            <w:pPr>
              <w:pStyle w:val="Compact"/>
              <w:numPr>
                <w:ilvl w:val="1"/>
                <w:numId w:val="1014"/>
              </w:numPr>
            </w:pPr>
            <w:r>
              <w:t xml:space="preserve">母集団を明示し外的妥当性を議論すること</w:t>
            </w:r>
          </w:p>
          <w:p>
            <w:pPr>
              <w:pStyle w:val="Compact"/>
              <w:numPr>
                <w:ilvl w:val="1"/>
                <w:numId w:val="1014"/>
              </w:numPr>
            </w:pPr>
            <w:r>
              <w:t xml:space="preserve">欠落変数を考慮したplacebo testを検討すること</w:t>
            </w:r>
          </w:p>
          <w:p>
            <w:pPr>
              <w:pStyle w:val="Compact"/>
              <w:numPr>
                <w:ilvl w:val="1"/>
                <w:numId w:val="1014"/>
              </w:numPr>
            </w:pPr>
            <w:r>
              <w:t xml:space="preserve">(以下略)</w:t>
            </w:r>
          </w:p>
          <w:p>
            <w:pPr>
              <w:pStyle w:val="Compact"/>
              <w:numPr>
                <w:ilvl w:val="0"/>
                <w:numId w:val="1013"/>
              </w:numPr>
            </w:pPr>
            <w:r>
              <w:t xml:space="preserve">例2</w:t>
            </w:r>
          </w:p>
          <w:p>
            <w:pPr>
              <w:pStyle w:val="Compact"/>
              <w:numPr>
                <w:ilvl w:val="1"/>
                <w:numId w:val="1015"/>
              </w:numPr>
            </w:pPr>
            <w:r>
              <w:t xml:space="preserve">総論での枠組み提示が欠けていること</w:t>
            </w:r>
          </w:p>
          <w:p>
            <w:pPr>
              <w:pStyle w:val="Compact"/>
              <w:numPr>
                <w:ilvl w:val="1"/>
                <w:numId w:val="1015"/>
              </w:numPr>
            </w:pPr>
            <w:r>
              <w:t xml:space="preserve">一部章(3、5章)での完成度を高めること</w:t>
            </w:r>
          </w:p>
          <w:p>
            <w:pPr>
              <w:pStyle w:val="Compact"/>
              <w:numPr>
                <w:ilvl w:val="1"/>
                <w:numId w:val="1015"/>
              </w:numPr>
            </w:pPr>
            <w:r>
              <w:t xml:space="preserve">(以下略)</w:t>
            </w:r>
          </w:p>
          <w:p>
            <w:pPr>
              <w:pStyle w:val="Compact"/>
              <w:numPr>
                <w:ilvl w:val="0"/>
                <w:numId w:val="1013"/>
              </w:numPr>
            </w:pPr>
            <w:r>
              <w:t xml:space="preserve">「まとめ」ならば検討者に求める方が良いかも?←今回は時すでに遅し</w:t>
            </w:r>
            <w:r>
              <w:rPr>
                <w:rStyle w:val="FootnoteReference"/>
              </w:rPr>
              <w:footnoteReference w:id="24"/>
            </w:r>
          </w:p>
          <w:p>
            <w:pPr>
              <w:pStyle w:val="Compact"/>
              <w:numPr>
                <w:ilvl w:val="0"/>
                <w:numId w:val="1013"/>
              </w:numPr>
            </w:pPr>
            <w:r>
              <w:t xml:space="preserve">「まとめ」を積み重ねると内部出版物に求められる条件が明らかになっていくかも?</w:t>
            </w:r>
          </w:p>
        </w:tc>
      </w:tr>
    </w:tbl>
    <w:bookmarkEnd w:id="25"/>
    <w:bookmarkStart w:id="29" w:name="エディタがすべきではないこと"/>
    <w:p>
      <w:pPr>
        <w:pStyle w:val="Heading2"/>
      </w:pPr>
      <w:r>
        <w:t xml:space="preserve">エディタがすべきではないこと</w:t>
      </w:r>
    </w:p>
    <w:p>
      <w:pPr>
        <w:pStyle w:val="Compact"/>
        <w:numPr>
          <w:ilvl w:val="0"/>
          <w:numId w:val="1016"/>
        </w:numPr>
      </w:pPr>
      <w:r>
        <w:t xml:space="preserve">成果検討そのもの、出版可否の判断</w:t>
      </w:r>
      <w:r>
        <w:rPr>
          <w:rStyle w:val="FootnoteReference"/>
        </w:rPr>
        <w:footnoteReference w:id="26"/>
      </w:r>
    </w:p>
    <w:p>
      <w:pPr>
        <w:pStyle w:val="Compact"/>
        <w:numPr>
          <w:ilvl w:val="1"/>
          <w:numId w:val="1017"/>
        </w:numPr>
      </w:pPr>
      <w:r>
        <w:t xml:space="preserve">エディタは検討者を代替しない</w:t>
      </w:r>
      <w:r>
        <w:rPr>
          <w:rStyle w:val="FootnoteReference"/>
        </w:rPr>
        <w:footnoteReference w:id="27"/>
      </w:r>
    </w:p>
    <w:p>
      <w:pPr>
        <w:pStyle w:val="Compact"/>
        <w:numPr>
          <w:ilvl w:val="1"/>
          <w:numId w:val="1017"/>
        </w:numPr>
      </w:pPr>
      <w:r>
        <w:t xml:space="preserve">それとも、第3査読者が必要になったときのみ許容するか=エディタが第3査読者になる</w:t>
      </w:r>
      <w:r>
        <w:rPr>
          <w:rStyle w:val="FootnoteReference"/>
        </w:rPr>
        <w:footnoteReference w:id="28"/>
      </w:r>
    </w:p>
    <w:p>
      <w:pPr>
        <w:pStyle w:val="Compact"/>
        <w:numPr>
          <w:ilvl w:val="0"/>
          <w:numId w:val="1016"/>
        </w:numPr>
      </w:pPr>
      <w:r>
        <w:t xml:space="preserve">研検間の意見不一致の強引な解消</w:t>
      </w:r>
    </w:p>
    <w:p>
      <w:pPr>
        <w:pStyle w:val="Compact"/>
        <w:numPr>
          <w:ilvl w:val="1"/>
          <w:numId w:val="1018"/>
        </w:numPr>
      </w:pPr>
      <w:r>
        <w:t xml:space="preserve">不一致は成果公開後に議論しても良い</w:t>
      </w:r>
    </w:p>
    <w:p>
      <w:pPr>
        <w:pStyle w:val="Compact"/>
        <w:numPr>
          <w:ilvl w:val="1"/>
          <w:numId w:val="1018"/>
        </w:numPr>
      </w:pPr>
      <w:r>
        <w:t xml:space="preserve">成果を歪めてしまう可能性、分科会に諮る方が安全</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新年度の成果検討体制は前年度2月中(第1稿提出時)に組む方が望ましい</w:t>
      </w:r>
      <w:r>
        <w:t xml:space="preserve"> </w:t>
      </w:r>
    </w:p>
  </w:footnote>
  <w:footnote w:id="26">
    <w:p>
      <w:pPr>
        <w:pStyle w:val="FootnoteText"/>
      </w:pPr>
      <w:r>
        <w:rPr>
          <w:rStyle w:val="FootnoteReference"/>
        </w:rPr>
        <w:footnoteRef/>
      </w:r>
      <w:r>
        <w:t xml:space="preserve"> </w:t>
      </w:r>
      <w:r>
        <w:t xml:space="preserve">ジャーナル・エディタとの最大の相違点</w:t>
      </w:r>
      <w:r>
        <w:t xml:space="preserve"> </w:t>
      </w:r>
    </w:p>
  </w:footnote>
  <w:footnote w:id="27">
    <w:p>
      <w:pPr>
        <w:pStyle w:val="FootnoteText"/>
      </w:pPr>
      <w:r>
        <w:rPr>
          <w:rStyle w:val="FootnoteReference"/>
        </w:rPr>
        <w:footnoteRef/>
      </w:r>
      <w:r>
        <w:t xml:space="preserve"> </w:t>
      </w:r>
      <w:r>
        <w:t xml:space="preserve">成果検討分科会委員(研究企画委員)としてコメント・質問をすることは可</w:t>
      </w:r>
      <w:r>
        <w:t xml:space="preserve"> </w:t>
      </w:r>
    </w:p>
  </w:footnote>
  <w:footnote w:id="28">
    <w:p>
      <w:pPr>
        <w:pStyle w:val="FootnoteText"/>
      </w:pPr>
      <w:r>
        <w:rPr>
          <w:rStyle w:val="FootnoteReference"/>
        </w:rPr>
        <w:footnoteRef/>
      </w:r>
      <w:r>
        <w:t xml:space="preserve"> </w:t>
      </w:r>
      <w:r>
        <w:t xml:space="preserve">分科会委員として伊藤が第3査読者になった経験あり(座長、企画課長からの依頼)</w:t>
      </w:r>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macartan.github.io/teaching/how-to-critique#pointers" TargetMode="External" /></Relationships>
</file>

<file path=word/_rels/footnotes.xml.rels><?xml version="1.0" encoding="UTF-8"?><Relationships xmlns="http://schemas.openxmlformats.org/package/2006/relationships"><Relationship Type="http://schemas.openxmlformats.org/officeDocument/2006/relationships/hyperlink" Id="rId23" Target="https://macartan.github.io/teaching/how-to-critique#point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エディタ制(仮称)について</dc:title>
  <dc:creator>成果検討分科会 伊藤成朗</dc:creator>
  <cp:keywords/>
  <dcterms:created xsi:type="dcterms:W3CDTF">2025-04-04T02:35:13Z</dcterms:created>
  <dcterms:modified xsi:type="dcterms:W3CDTF">2025-04-04T02:35:13Z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../seiro.bib</vt:lpwstr>
  </property>
  <property fmtid="{D5CDD505-2E9C-101B-9397-08002B2CF9AE}" pid="5" name="by-author">
    <vt:lpwstr/>
  </property>
  <property fmtid="{D5CDD505-2E9C-101B-9397-08002B2CF9AE}" pid="6" name="callout-appearance">
    <vt:lpwstr>simple</vt:lpwstr>
  </property>
  <property fmtid="{D5CDD505-2E9C-101B-9397-08002B2CF9AE}" pid="7" name="callout-icon">
    <vt:lpwstr>False</vt:lpwstr>
  </property>
  <property fmtid="{D5CDD505-2E9C-101B-9397-08002B2CF9AE}" pid="8" name="citation-location">
    <vt:lpwstr>margin</vt:lpwstr>
  </property>
  <property fmtid="{D5CDD505-2E9C-101B-9397-08002B2CF9AE}" pid="9" name="date">
    <vt:lpwstr>April 04, 2025, 11:04 +0900</vt:lpwstr>
  </property>
  <property fmtid="{D5CDD505-2E9C-101B-9397-08002B2CF9AE}" pid="10" name="date-format">
    <vt:lpwstr>MMMM DD, YYYY, HH:MM ZZ</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ies>
</file>