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jpg" ContentType="image/jpeg"/>
  <Default Extension="png" ContentType="image/png"/>
  <Default Extension="jpeg" ContentType="image/jpeg"/>
  <Default Extension="tiff" ContentType="image/tiff"/>
  <Default Extension="gif" ContentType="image/gif"/>
  <Default Extension="bin" ContentType="application/vnd.openxmlformats-officedocument.oleObject"/>
  <Default Extension="wmf" ContentType="image/x-wmf"/>
  <Default Extension="emf" ContentType="image/x-emf"/>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sectPr>
          <w:headerReference r:id="rId9" w:type="even"/>
          <w:headerReference r:id="rId7" w:type="default"/>
          <w:headerReference r:id="rId8" w:type="first"/>
          <w:footerReference r:id="rId10" w:type="default"/>
          <w:pgNumType w:start="1"/>
          <w:pgSz w:w="11906" w:h="16838" w:orient="portrait"/>
          <w:pgMar w:left="1701" w:right="1701" w:top="1985" w:bottom="1701" w:header="851" w:footer="992"/>
        </w:sectPr>
        <w:rPr>
          <w:bCs w:val="1"/>
          <w:b/>
          <w:rFonts w:ascii="游ゴシック" w:cs="游ゴシック" w:eastAsia="游ゴシック" w:hAnsi="游ゴシック"/>
          <w:sz w:val="22"/>
          <w:szCs w:val="22"/>
        </w:rPr>
      </w:pPr>
      <w:r w:rsidR="00000000" w:rsidDel="00000000" w:rsidRPr="00000000">
        <w:rPr>
          <w:rtl w:val="0"/>
        </w:rPr>
      </w:r>
    </w:p>
    <w:p w:rsidR="00000000" w:rsidDel="00000000" w:rsidRDefault="00000000" w14:paraId="00000002" w:rsidP="00000000" w:rsidRPr="00000000">
      <w:pPr>
        <w:rPr>
          <w:bCs w:val="1"/>
          <w:b/>
          <w:rFonts w:ascii="游ゴシック" w:cs="游ゴシック" w:eastAsia="游ゴシック" w:hAnsi="游ゴシック"/>
          <w:sz w:val="22"/>
          <w:szCs w:val="22"/>
        </w:rPr>
      </w:pPr>
      <w:r w:rsidR="00000000" w:rsidDel="00000000" w:rsidRPr="00000000">
        <w:rPr>
          <w:bCs w:val="1"/>
          <w:rtl w:val="0"/>
          <w:b/>
          <w:rFonts w:ascii="游ゴシック" w:cs="游ゴシック" w:eastAsia="游ゴシック" w:hAnsi="游ゴシック"/>
          <w:sz w:val="22"/>
          <w:szCs w:val="22"/>
        </w:rPr>
        <w:t>第10X回　</w:t>
      </w:r>
    </w:p>
    <w:p w:rsidR="00000000" w:rsidDel="00000000" w:rsidRDefault="00000000" w14:paraId="00000003" w:rsidP="00000000" w:rsidRPr="00000000">
      <w:pPr>
        <w:rPr>
          <w:sz w:val="20"/>
          <w:szCs w:val="20"/>
        </w:rPr>
      </w:pPr>
      <w:r w:rsidR="00000000" w:rsidDel="00000000" w:rsidRPr="00000000">
        <w:rPr>
          <w:rtl w:val="0"/>
          <w:sz w:val="20"/>
          <w:szCs w:val="20"/>
        </w:rPr>
        <w:t>●●●</w:t>
      </w:r>
    </w:p>
    <w:p w:rsidR="00000000" w:rsidDel="00000000" w:rsidRDefault="00000000" w14:paraId="00000004" w:rsidP="00000000" w:rsidRPr="00000000">
      <w:pPr/>
      <w:r w:rsidR="00000000" w:rsidDel="00000000" w:rsidRPr="00000000">
        <w:rPr>
          <w:rtl w:val="0"/>
        </w:rPr>
      </w:r>
    </w:p>
    <w:p w:rsidR="00000000" w:rsidDel="00000000" w:rsidRDefault="00000000" w14:paraId="00000005" w:rsidP="00000000" w:rsidRPr="00000000">
      <w:pPr>
        <w:jc w:val="right"/>
        <w:rPr>
          <w:color w:val="0563C1"/>
        </w:rPr>
      </w:pPr>
      <w:hyperlink r:id="rId11">
        <w:r w:rsidR="00000000" w:rsidDel="00000000" w:rsidRPr="00000000">
          <w:rPr>
            <w:rtl w:val="0"/>
            <w:color w:val="0563C1"/>
          </w:rPr>
          <w:t>伊藤 成朗</w:t>
        </w:r>
      </w:hyperlink>
      <w:r w:rsidR="00000000" w:rsidDel="00000000" w:rsidRPr="00000000">
        <w:rPr>
          <w:rtl w:val="0"/>
        </w:rPr>
      </w:r>
    </w:p>
    <w:p w:rsidR="00000000" w:rsidDel="00000000" w:rsidRDefault="00000000" w14:paraId="00000006" w:rsidP="00000000" w:rsidRPr="00000000">
      <w:pPr>
        <w:jc w:val="right"/>
      </w:pPr>
      <w:hyperlink r:id="rId12">
        <w:r w:rsidR="00000000" w:rsidDel="00000000" w:rsidRPr="00000000">
          <w:rPr>
            <w:rtl w:val="0"/>
            <w:color w:val="0563C1"/>
          </w:rPr>
          <w:t>Seiro Ito</w:t>
        </w:r>
      </w:hyperlink>
      <w:r w:rsidR="00000000" w:rsidDel="00000000" w:rsidRPr="00000000">
        <w:rPr>
          <w:rtl w:val="0"/>
        </w:rPr>
      </w:r>
    </w:p>
    <w:p w:rsidR="00000000" w:rsidDel="00000000" w:rsidRDefault="00000000" w14:paraId="00000007" w:rsidP="00000000" w:rsidRPr="00000000">
      <w:pPr>
        <w:jc w:val="right"/>
      </w:pPr>
      <w:r w:rsidR="00000000" w:rsidDel="00000000" w:rsidRPr="00000000">
        <w:rPr>
          <w:rtl w:val="0"/>
        </w:rPr>
        <w:t>2025年12月</w:t>
      </w:r>
    </w:p>
    <w:p w:rsidR="00000000" w:rsidDel="00000000" w:rsidRDefault="00000000" w14:paraId="00000008" w:rsidP="00000000" w:rsidRPr="00000000">
      <w:pPr>
        <w:jc w:val="right"/>
      </w:pPr>
      <w:r w:rsidR="00000000" w:rsidDel="00000000" w:rsidRPr="00000000">
        <w:rPr>
          <w:rtl w:val="0"/>
        </w:rPr>
        <w:t>（*,***字）</w:t>
      </w:r>
    </w:p>
    <w:p w:rsidR="00000000" w:rsidDel="00000000" w:rsidRDefault="00000000" w14:paraId="00000009" w:rsidP="00000000" w:rsidRPr="00000000">
      <w:pPr>
        <w:jc w:val="right"/>
      </w:pPr>
      <w:r w:rsidR="00000000" w:rsidDel="00000000" w:rsidRPr="00000000">
        <w:rPr>
          <w:rtl w:val="0"/>
        </w:rPr>
        <w:t>＊図は文末に掲載しています</w:t>
      </w:r>
    </w:p>
    <w:p w:rsidR="00000000" w:rsidDel="00000000" w:rsidRDefault="00000000" w14:paraId="0000000A" w:rsidP="00000000" w:rsidRPr="00000000">
      <w:pPr>
        <w:jc w:val="right"/>
      </w:pPr>
      <w:r w:rsidR="00000000" w:rsidDel="00000000" w:rsidRPr="00000000">
        <w:rPr>
          <w:rtl w:val="0"/>
        </w:rPr>
      </w:r>
    </w:p>
    <w:p w:rsidR="00000000" w:rsidDel="00000000" w:rsidRDefault="00000000" w14:paraId="0000000B" w:rsidP="00000000" w:rsidRPr="00000000">
      <w:pPr>
        <w:keepNext w:val="1"/>
        <w:pBdr>
          <w:top w:val="nil" w:sz="0" w:color="auto" w:space="0"/>
          <w:bottom w:val="nil" w:sz="0" w:color="auto" w:space="0"/>
          <w:left w:val="nil" w:sz="0" w:color="auto" w:space="0"/>
          <w:right w:val="nil" w:sz="0" w:color="auto" w:space="0"/>
          <w:between w:val="nil" w:sz="0" w:color="auto" w:space="0"/>
        </w:pBdr>
        <w:rPr>
          <w:bCs w:val="1"/>
          <w:b/>
          <w:color w:val="000000"/>
          <w:rFonts w:ascii="游ゴシック" w:cs="游ゴシック" w:eastAsia="游ゴシック" w:hAnsi="游ゴシック"/>
          <w:sz w:val="22"/>
          <w:szCs w:val="22"/>
        </w:rPr>
      </w:pPr>
      <w:r w:rsidR="00000000" w:rsidDel="00000000" w:rsidRPr="00000000">
        <w:rPr>
          <w:bCs w:val="1"/>
          <w:rtl w:val="0"/>
          <w:b/>
          <w:color w:val="000000"/>
          <w:rFonts w:ascii="游ゴシック" w:cs="游ゴシック" w:eastAsia="游ゴシック" w:hAnsi="游ゴシック"/>
          <w:sz w:val="22"/>
          <w:szCs w:val="22"/>
        </w:rPr>
        <w:t>今回紹介する研究</w:t>
      </w:r>
    </w:p>
    <w:p w:rsidR="00000000" w:rsidDel="00000000" w:rsidRDefault="00000000" w14:paraId="0000000C" w:rsidP="00000000" w:rsidRPr="00000000">
      <w:pPr>
        <w:rPr>
          <w:bCs w:val="1"/>
          <w:b/>
          <w:rFonts w:ascii="Times New Roman" w:cs="Times New Roman" w:eastAsia="Times New Roman" w:hAnsi="Times New Roman"/>
        </w:rPr>
      </w:pPr>
      <w:r w:rsidR="00000000" w:rsidDel="00000000" w:rsidRPr="00000000">
        <w:rPr>
          <w:bCs w:val="1"/>
          <w:rtl w:val="0"/>
          <w:b/>
          <w:rFonts w:ascii="Times New Roman" w:cs="Times New Roman" w:eastAsia="Times New Roman" w:hAnsi="Times New Roman"/>
        </w:rPr>
        <w:t>Amory Gethin</w:t>
      </w:r>
      <w:r w:rsidR="00000000" w:rsidDel="00000000" w:rsidRPr="00000000">
        <w:rPr>
          <w:rtl w:val="0"/>
          <w:rFonts w:ascii="Times New Roman" w:cs="Times New Roman" w:eastAsia="Times New Roman" w:hAnsi="Times New Roman"/>
        </w:rPr>
        <w:t>, "</w:t>
      </w:r>
      <w:hyperlink r:id="rId13">
        <w:r w:rsidR="00000000" w:rsidDel="00000000" w:rsidRPr="00000000">
          <w:rPr>
            <w:rtl w:val="0"/>
            <w:u w:val="single"/>
            <w:color w:val="1155CC"/>
            <w:rFonts w:ascii="Times New Roman" w:cs="Times New Roman" w:eastAsia="Times New Roman" w:hAnsi="Times New Roman"/>
          </w:rPr>
          <w:t>Distributional growth accounting: Education and the reduction of global poverty, 1980–2019</w:t>
        </w:r>
      </w:hyperlink>
      <w:r w:rsidR="00000000" w:rsidDel="00000000" w:rsidRPr="00000000">
        <w:rPr>
          <w:rtl w:val="0"/>
          <w:rFonts w:ascii="Times New Roman" w:cs="Times New Roman" w:eastAsia="Times New Roman" w:hAnsi="Times New Roman"/>
        </w:rPr>
        <w:t xml:space="preserve">," </w:t>
      </w:r>
      <w:r w:rsidR="00000000" w:rsidDel="00000000" w:rsidRPr="00000000">
        <w:rPr>
          <w:iCs w:val="1"/>
          <w:rtl w:val="0"/>
          <w:i/>
          <w:rFonts w:ascii="Times New Roman" w:cs="Times New Roman" w:eastAsia="Times New Roman" w:hAnsi="Times New Roman"/>
        </w:rPr>
        <w:t>Quarterly Journal of Economics</w:t>
      </w:r>
      <w:r w:rsidR="00000000" w:rsidDel="00000000" w:rsidRPr="00000000">
        <w:rPr>
          <w:rtl w:val="0"/>
          <w:rFonts w:ascii="Times New Roman" w:cs="Times New Roman" w:eastAsia="Times New Roman" w:hAnsi="Times New Roman"/>
        </w:rPr>
        <w:t>, Volume 140, Issue 4, November 2025, Pages 2571–2618.</w:t>
      </w:r>
      <w:r w:rsidR="00000000" w:rsidDel="00000000" w:rsidRPr="00000000">
        <w:rPr>
          <w:rtl w:val="0"/>
        </w:rPr>
      </w:r>
    </w:p>
    <w:p w:rsidR="00000000" w:rsidDel="00000000" w:rsidRDefault="00000000" w14:paraId="0000000D" w:rsidP="00000000" w:rsidRPr="00000000">
      <w:pPr>
        <w:rPr>
          <w:bCs w:val="1"/>
          <w:b/>
          <w:rFonts w:ascii="Times New Roman" w:cs="Times New Roman" w:eastAsia="Times New Roman" w:hAnsi="Times New Roman"/>
        </w:rPr>
      </w:pPr>
      <w:r w:rsidR="00000000" w:rsidDel="00000000" w:rsidRPr="00000000">
        <w:rPr>
          <w:rtl w:val="0"/>
        </w:rPr>
      </w:r>
    </w:p>
    <w:p w:rsidR="00000000" w:rsidDel="00000000" w:rsidRDefault="00000000" w14:paraId="0000000E" w:rsidP="00000000" w:rsidRPr="00000000">
      <w:pPr>
        <w:ind w:left="210"/>
        <w:ind w:right="210"/>
        <w:ind w:firstLine="210"/>
        <w:rPr>
          <w:u w:val="single"/>
          <w:color w:val="0563C1"/>
          <w:rFonts w:ascii="Times New Roman" w:cs="Times New Roman" w:eastAsia="Times New Roman" w:hAnsi="Times New Roman"/>
        </w:rPr>
      </w:pPr>
      <w:r w:rsidR="00000000" w:rsidDel="00000000" w:rsidRPr="00000000">
        <w:rPr>
          <w:rtl w:val="0"/>
        </w:rPr>
      </w:r>
    </w:p>
    <w:p w:rsidR="00000000" w:rsidDel="00000000" w:rsidRDefault="00000000" w14:paraId="0000000F" w:rsidP="00000000" w:rsidRPr="00000000">
      <w:pPr>
        <w:keepNext w:val="1"/>
        <w:pBdr>
          <w:top w:val="nil" w:sz="0" w:color="auto" w:space="0"/>
          <w:bottom w:val="nil" w:sz="0" w:color="auto" w:space="0"/>
          <w:left w:val="nil" w:sz="0" w:color="auto" w:space="0"/>
          <w:right w:val="nil" w:sz="0" w:color="auto" w:space="0"/>
          <w:between w:val="nil" w:sz="0" w:color="auto" w:space="0"/>
        </w:pBdr>
        <w:rPr>
          <w:bCs w:val="1"/>
          <w:b/>
          <w:color w:val="000000"/>
          <w:rFonts w:ascii="游ゴシック" w:cs="游ゴシック" w:eastAsia="游ゴシック" w:hAnsi="游ゴシック"/>
          <w:sz w:val="22"/>
          <w:szCs w:val="22"/>
        </w:rPr>
      </w:pPr>
      <w:r w:rsidR="00000000" w:rsidDel="00000000" w:rsidRPr="00000000">
        <w:rPr>
          <w:bCs w:val="1"/>
          <w:rtl w:val="0"/>
          <w:b/>
          <w:color w:val="000000"/>
          <w:rFonts w:ascii="游ゴシック" w:cs="游ゴシック" w:eastAsia="游ゴシック" w:hAnsi="游ゴシック"/>
          <w:sz w:val="22"/>
          <w:szCs w:val="22"/>
        </w:rPr>
        <w:t>教育はどれだけ世界の貧困を減らしたのか</w:t>
      </w:r>
    </w:p>
    <w:p w:rsidR="00000000" w:rsidDel="00000000" w:rsidRDefault="00000000" w14:paraId="00000010" w:rsidP="00000000" w:rsidRPr="00000000">
      <w:pPr/>
      <w:r w:rsidR="00000000" w:rsidDel="00000000" w:rsidRPr="00000000">
        <w:rPr>
          <w:rtl w:val="0"/>
        </w:rPr>
      </w:r>
    </w:p>
    <w:p w:rsidR="00000000" w:rsidDel="00000000" w:rsidRDefault="00000000" w14:paraId="00000011" w:rsidP="00000000" w:rsidRPr="00000000">
      <w:pPr>
        <w:ind w:firstLine="720"/>
      </w:pPr>
      <w:r w:rsidR="00000000" w:rsidDel="00000000" w:rsidRPr="00000000">
        <w:rPr>
          <w:rtl w:val="0"/>
        </w:rPr>
        <w:t>教育は貧困から脱却するのに最も重要な要素の一つです。健康で紛争・犯罪などに巻き込まれず、就労に制限や不当な差別がなければ、学歴に応じた所得を得ることができます。SDGsやその前身のMDGs(ミレニアム開発目標)においても就学率や学習が達成目標となり、とくに1980年代以降に世界各国の初等就学率は100%近くまで到達しました。</w:t>
      </w:r>
    </w:p>
    <w:p w:rsidR="00000000" w:rsidDel="00000000" w:rsidRDefault="00000000" w14:paraId="00000013" w:rsidP="00000000" w:rsidRPr="00000000">
      <w:pPr>
        <w:ind w:firstLine="720"/>
      </w:pPr>
      <w:r w:rsidR="00000000" w:rsidDel="00000000" w:rsidRPr="00000000">
        <w:rPr>
          <w:rtl w:val="0"/>
        </w:rPr>
        <w:t>では、こうした教育への努力は世界各国の所得や貧困指標にどのくらい影響を与えたでしょうか。こうした問いは成長会計研究で検討されてきました。所得の変化を資本、労働、人的資本(教育)などの変化に分解し、それぞれが貢献した程度を示すという作業です。今までの成長会計の手法を使うと、1980年代以降の成長のうち、33%が教育の貢献と示されています。</w:t>
      </w:r>
    </w:p>
    <w:p w:rsidR="00000000" w:rsidDel="00000000" w:rsidRDefault="00000000" w14:paraId="00000014" w:rsidP="00000000" w:rsidRPr="00000000">
      <w:pPr>
        <w:ind w:firstLine="720"/>
      </w:pPr>
      <w:r w:rsidR="00000000" w:rsidDel="00000000" w:rsidRPr="00000000">
        <w:rPr>
          <w:rtl w:val="0"/>
        </w:rPr>
        <w:t>しかし、今までの成長会計の手法は、幾つかの点で課題が指摘されてきました。第一に、途上国に住む低所得の人たちにとっての教育の効果という、開発経済学で最も大事な知識を得ることが叶いませんでした。これは一国の平均所得(1人あたりGDP)という低所得の人と高所得の人を一つにまとめた指標を取り上げていたためです。平均値を使って階層別の所得を利用しなかったというデータ制約に起因する弱点です。第二に、企業の労要が賃金に与える影響を考慮していませんでした。特定の教育に対して常に一定の所得が支払われると想定してきましたが、現実は違います。たとえば、(高等教育修了者への労働需要を増やす)技能偏向的技術変化skill biased technological changeは先進国のみならず途上国でも影響を与えている可能性があります。用いた生産関数が(比較的単純なコブ・ダグラス型で)技能偏向的技術変化を扱えない、という分析枠組みに起因する弱点です。</w:t>
      </w:r>
    </w:p>
    <w:p w:rsidR="00000000" w:rsidDel="00000000" w:rsidRDefault="00000000" w14:paraId="00000015" w:rsidP="00000000" w:rsidRPr="00000000">
      <w:pPr>
        <w:ind w:firstLine="210"/>
      </w:pPr>
      <w:r w:rsidR="00000000" w:rsidDel="00000000" w:rsidRPr="00000000">
        <w:rPr>
          <w:rtl w:val="0"/>
        </w:rPr>
      </w:r>
    </w:p>
    <w:p w:rsidR="00000000" w:rsidDel="00000000" w:rsidRDefault="00000000" w14:paraId="00000016" w:rsidP="00000000" w:rsidRPr="00000000">
      <w:pPr>
        <w:keepNext w:val="1"/>
        <w:pBdr>
          <w:top w:val="nil" w:sz="0" w:color="auto" w:space="0"/>
          <w:bottom w:val="nil" w:sz="0" w:color="auto" w:space="0"/>
          <w:left w:val="nil" w:sz="0" w:color="auto" w:space="0"/>
          <w:right w:val="nil" w:sz="0" w:color="auto" w:space="0"/>
          <w:between w:val="nil" w:sz="0" w:color="auto" w:space="0"/>
        </w:pBdr>
        <w:rPr>
          <w:bCs w:val="1"/>
          <w:b/>
          <w:color w:val="000000"/>
          <w:rFonts w:ascii="游ゴシック" w:cs="游ゴシック" w:eastAsia="游ゴシック" w:hAnsi="游ゴシック"/>
          <w:sz w:val="22"/>
          <w:szCs w:val="22"/>
        </w:rPr>
      </w:pPr>
      <w:r w:rsidR="00000000" w:rsidDel="00000000" w:rsidRPr="00000000">
        <w:rPr>
          <w:bCs w:val="1"/>
          <w:rtl w:val="0"/>
          <w:b/>
          <w:color w:val="000000"/>
          <w:rFonts w:ascii="游ゴシック" w:cs="游ゴシック" w:eastAsia="游ゴシック" w:hAnsi="游ゴシック"/>
          <w:sz w:val="22"/>
          <w:szCs w:val="22"/>
        </w:rPr>
        <w:t>世界下位20%層の所得</w:t>
      </w:r>
      <w:r w:rsidR="00000000" w:rsidDel="00000000" w:rsidRPr="00000000">
        <w:rPr>
          <w:bCs w:val="1"/>
          <w:rtl w:val="0"/>
          <w:b/>
          <w:rFonts w:ascii="游ゴシック" w:cs="游ゴシック" w:eastAsia="游ゴシック" w:hAnsi="游ゴシック"/>
          <w:sz w:val="22"/>
          <w:szCs w:val="22"/>
        </w:rPr>
        <w:t>成長率</w:t>
      </w:r>
      <w:r w:rsidR="00000000" w:rsidDel="00000000" w:rsidRPr="00000000">
        <w:rPr>
          <w:bCs w:val="1"/>
          <w:rtl w:val="0"/>
          <w:b/>
          <w:color w:val="000000"/>
          <w:rFonts w:ascii="游ゴシック" w:cs="游ゴシック" w:eastAsia="游ゴシック" w:hAnsi="游ゴシック"/>
          <w:sz w:val="22"/>
          <w:szCs w:val="22"/>
        </w:rPr>
        <w:t>: 0.8%(就学年数=1980年のまま)、1.9%(就学年数=実際)</w:t>
      </w:r>
    </w:p>
    <w:p w:rsidR="00000000" w:rsidDel="00000000" w:rsidRDefault="00000000" w14:paraId="00000017" w:rsidP="00000000" w:rsidRPr="00000000">
      <w:pPr/>
      <w:r w:rsidR="00000000" w:rsidDel="00000000" w:rsidRPr="00000000">
        <w:rPr>
          <w:rtl w:val="0"/>
        </w:rPr>
      </w:r>
    </w:p>
    <w:p w:rsidR="00000000" w:rsidDel="00000000" w:rsidRDefault="00000000" w14:paraId="00000018" w:rsidP="00000000" w:rsidRPr="00000000">
      <w:pPr>
        <w:ind w:firstLine="210"/>
      </w:pPr>
      <w:r w:rsidR="00000000" w:rsidDel="00000000" w:rsidRPr="00000000">
        <w:rPr>
          <w:rtl w:val="0"/>
        </w:rPr>
        <w:t>今回紹介する研究は、教育が所得の伸びにどのくらい貢献したかを所得階層別に示しています。世界の所得下位85%はすべての階層でほぼ同じ程度の効果で、教育は所得成長を年率約1%ポイント底上げしました。下位20%は所得の年率成長率が2%未満なので、所得増加の半分以上を教育がもたらしたことになります。上位15%では教育の貢献は減り、上位1%では教育以外の要因でのみ所得が増えていました。</w:t>
      </w:r>
      <w:r w:rsidR="00000000" w:rsidDel="00000000" w:rsidRPr="00000000">
        <w:rPr>
          <w:vertAlign w:val="superscript"/>
        </w:rPr>
        <w:footnoteReference w:customMarkFollows="0" w:id="0"/>
      </w:r>
      <w:r w:rsidR="00000000" w:rsidDel="00000000" w:rsidRPr="00000000">
        <w:rPr>
          <w:rtl w:val="0"/>
        </w:rPr>
        <w:t>著者流に表現すると、下位60%で所得の伸びの40-70%を教育が説明している、です。同時期に1日2.15ドル以下で暮らす世界の貧困層は47%から14%に急減しましたが、教育普及はその減少の35%を説明できます。これらは公共政策における教育の重要性を改めて示す証拠といえます。全世界を対象に教育の重要性、とくに低所得階層における重要性を示したのは画期的な貢献です。</w:t>
      </w:r>
    </w:p>
    <w:p w:rsidR="00000000" w:rsidDel="00000000" w:rsidRDefault="00000000" w14:paraId="00000019" w:rsidP="00000000" w:rsidRPr="00000000">
      <w:pPr>
        <w:ind w:firstLine="210"/>
      </w:pPr>
      <w:r w:rsidR="00000000" w:rsidDel="00000000" w:rsidRPr="00000000">
        <w:rPr>
          <w:rtl w:val="0"/>
        </w:rPr>
      </w:r>
    </w:p>
    <w:p w:rsidR="00000000" w:rsidDel="00000000" w:rsidRDefault="00000000" w14:paraId="0000001A" w:rsidP="00000000" w:rsidRPr="00000000">
      <w:pPr>
        <w:ind w:firstLine="210"/>
      </w:pPr>
      <w:r w:rsidR="00000000" w:rsidDel="00000000" w:rsidRPr="00000000">
        <w:rPr>
          <w:rtl w:val="0"/>
        </w:rPr>
        <w:t>教育は1980-2019年の世界の所得成長の25%を説明していますが、企業の高技能労働需要増加の貢献はその30%(7.5%ポイント)を占め、就学年数の延伸という教育の純粋な効果はその70%(17.5%ポイント)でした。高技能労働供給が増えることに対応して企業が高技能労働需要を増やすことで、その価格(教育投資の収益率)の減少を押し戻したと解釈できます。ただし、中国とインドは例外で、企業が高技能よりも低技能雇用を多く増やしたために、高等教育の収益率が下がりました。2010年代以降の中国は高技能雇用が増えていたので、それ以前の成長を支えた低賃金雇用の影響が大きく出たのでしょう。</w:t>
      </w:r>
    </w:p>
    <w:p w:rsidR="00000000" w:rsidDel="00000000" w:rsidRDefault="00000000" w14:paraId="0000001B" w:rsidP="00000000" w:rsidRPr="00000000">
      <w:pPr>
        <w:ind w:firstLine="210"/>
      </w:pPr>
      <w:r w:rsidR="00000000" w:rsidDel="00000000" w:rsidRPr="00000000">
        <w:rPr>
          <w:rtl w:val="0"/>
        </w:rPr>
      </w:r>
    </w:p>
    <w:p w:rsidR="00000000" w:rsidDel="00000000" w:rsidRDefault="00000000" w14:paraId="0000001C" w:rsidP="00000000" w:rsidRPr="00000000">
      <w:pPr>
        <w:keepNext w:val="1"/>
        <w:pBdr>
          <w:top w:val="nil" w:sz="0" w:color="auto" w:space="0"/>
          <w:bottom w:val="nil" w:sz="0" w:color="auto" w:space="0"/>
          <w:left w:val="nil" w:sz="0" w:color="auto" w:space="0"/>
          <w:right w:val="nil" w:sz="0" w:color="auto" w:space="0"/>
          <w:between w:val="nil" w:sz="0" w:color="auto" w:space="0"/>
        </w:pBdr>
        <w:rPr>
          <w:bCs w:val="1"/>
          <w:b/>
          <w:color w:val="000000"/>
          <w:rFonts w:ascii="游ゴシック" w:cs="游ゴシック" w:eastAsia="游ゴシック" w:hAnsi="游ゴシック"/>
          <w:sz w:val="22"/>
          <w:szCs w:val="22"/>
        </w:rPr>
      </w:pPr>
      <w:r w:rsidR="00000000" w:rsidDel="00000000" w:rsidRPr="00000000">
        <w:rPr>
          <w:bCs w:val="1"/>
          <w:rtl w:val="0"/>
          <w:b/>
          <w:rFonts w:ascii="游ゴシック" w:cs="游ゴシック" w:eastAsia="游ゴシック" w:hAnsi="游ゴシック"/>
          <w:sz w:val="22"/>
          <w:szCs w:val="22"/>
        </w:rPr>
        <w:t>データ</w:t>
      </w:r>
      <w:r w:rsidR="00000000" w:rsidDel="00000000" w:rsidRPr="00000000">
        <w:rPr>
          <w:rtl w:val="0"/>
        </w:rPr>
      </w:r>
    </w:p>
    <w:p w:rsidR="00000000" w:rsidDel="00000000" w:rsidRDefault="00000000" w14:paraId="0000001D" w:rsidP="00000000" w:rsidRPr="00000000">
      <w:pPr/>
      <w:r w:rsidR="00000000" w:rsidDel="00000000" w:rsidRPr="00000000">
        <w:rPr>
          <w:rtl w:val="0"/>
        </w:rPr>
      </w:r>
    </w:p>
    <w:p w:rsidR="00000000" w:rsidDel="00000000" w:rsidRDefault="00000000" w14:paraId="0000001E" w:rsidP="00000000" w:rsidRPr="00000000">
      <w:pPr>
        <w:ind w:firstLine="210"/>
      </w:pPr>
      <w:r w:rsidR="00000000" w:rsidDel="00000000" w:rsidRPr="00000000">
        <w:rPr>
          <w:rtl w:val="0"/>
        </w:rPr>
        <w:t>本研究が所得階層別に教育の貢献を示すことができたのは、用いたデータの種類と量が多いためです。ILOが収集し多国間比較可能にしたデータを154か国(2019年前後)、世界銀行が収集し多国間比較可能にした所得分配データを109か国(2000年前後)、そして成長会計研究で今まで使われてきたその他データを多数組み合わせています。種類も異なる膨大な数のデータを使った作業量は想像を絶します。こうした作業をたった一人の研究助手とともにやり遂げた著者は凄いの一言です。</w:t>
      </w:r>
    </w:p>
    <w:p w:rsidR="00000000" w:rsidDel="00000000" w:rsidRDefault="00000000" w14:paraId="0000001F" w:rsidP="00000000" w:rsidRPr="00000000">
      <w:pPr>
        <w:ind w:firstLine="210"/>
      </w:pPr>
      <w:r w:rsidR="00000000" w:rsidDel="00000000" w:rsidRPr="00000000">
        <w:rPr>
          <w:rtl w:val="0"/>
        </w:rPr>
      </w:r>
    </w:p>
    <w:p w:rsidR="00000000" w:rsidDel="00000000" w:rsidRDefault="00000000" w14:paraId="00000020" w:rsidP="00000000" w:rsidRPr="00000000">
      <w:pPr>
        <w:keepNext w:val="1"/>
        <w:rPr>
          <w:bCs w:val="1"/>
          <w:b/>
          <w:rFonts w:ascii="游ゴシック" w:cs="游ゴシック" w:eastAsia="游ゴシック" w:hAnsi="游ゴシック"/>
          <w:sz w:val="22"/>
          <w:szCs w:val="22"/>
        </w:rPr>
      </w:pPr>
      <w:r w:rsidR="00000000" w:rsidDel="00000000" w:rsidRPr="00000000">
        <w:rPr>
          <w:bCs w:val="1"/>
          <w:rtl w:val="0"/>
          <w:b/>
          <w:rFonts w:ascii="游ゴシック" w:cs="游ゴシック" w:eastAsia="游ゴシック" w:hAnsi="游ゴシック"/>
          <w:sz w:val="22"/>
          <w:szCs w:val="22"/>
        </w:rPr>
        <w:t>実現メカニズム解明の必要性</w:t>
      </w:r>
    </w:p>
    <w:p w:rsidR="00000000" w:rsidDel="00000000" w:rsidRDefault="00000000" w14:paraId="00000021" w:rsidP="00000000" w:rsidRPr="00000000">
      <w:pPr>
        <w:keepNext w:val="1"/>
        <w:rPr>
          <w:bCs w:val="1"/>
          <w:b/>
          <w:rFonts w:ascii="游ゴシック" w:cs="游ゴシック" w:eastAsia="游ゴシック" w:hAnsi="游ゴシック"/>
          <w:sz w:val="22"/>
          <w:szCs w:val="22"/>
        </w:rPr>
      </w:pPr>
      <w:r w:rsidR="00000000" w:rsidDel="00000000" w:rsidRPr="00000000">
        <w:rPr>
          <w:rtl w:val="0"/>
        </w:rPr>
      </w:r>
    </w:p>
    <w:p w:rsidR="00000000" w:rsidDel="00000000" w:rsidRDefault="00000000" w14:paraId="00000022" w:rsidP="00000000" w:rsidRPr="00000000">
      <w:pPr>
        <w:ind w:firstLine="210"/>
      </w:pPr>
      <w:r w:rsidR="00000000" w:rsidDel="00000000" w:rsidRPr="00000000">
        <w:rPr>
          <w:rtl w:val="0"/>
        </w:rPr>
        <w:t>本研究は成長への教育の貢献を数値で示しましたが、実現までのメカニズムには触れていません。各国の教育政策、家計の就学・就労意思決定などの教育に関する伝統的な研究蓄積が参考になります。本研究では、教育の貢献の3割を占める企業の雇用対応を研究する必要性も示されました。途上国企業研究は多数ありますが、技能労働需要に焦点を当てた研究は比較的少数で近年になって始まったばかりです。今後は途上国企業の技術選択行動、技能労働雇用を促す公的政策なども研究する必要がありそうです。</w:t>
      </w:r>
    </w:p>
    <w:p w:rsidR="00000000" w:rsidDel="00000000" w:rsidRDefault="00000000" w14:paraId="00000023" w:rsidP="00000000" w:rsidRPr="00000000">
      <w:pPr>
        <w:ind w:left="0"/>
        <w:ind w:firstLine="0"/>
      </w:pPr>
      <w:r w:rsidR="00000000" w:rsidDel="00000000" w:rsidRPr="00000000">
        <w:rPr>
          <w:rtl w:val="0"/>
        </w:rPr>
      </w:r>
    </w:p>
    <w:p w:rsidR="00000000" w:rsidDel="00000000" w:rsidRDefault="00000000" w14:paraId="00000024" w:rsidP="00000000" w:rsidRPr="00000000">
      <w:pPr>
        <w:ind w:left="0"/>
        <w:ind w:firstLine="0"/>
      </w:pPr>
      <w:r w:rsidR="00000000" w:rsidDel="00000000" w:rsidRPr="00000000">
        <w:rPr>
          <w:rtl w:val="0"/>
        </w:rPr>
      </w:r>
    </w:p>
    <w:p w:rsidR="00000000" w:rsidDel="00000000" w:rsidRDefault="00000000" w14:paraId="00000025" w:rsidP="00000000" w:rsidRPr="00000000">
      <w:pPr>
        <w:keepNext w:val="1"/>
        <w:pBdr>
          <w:top w:val="nil" w:sz="0" w:color="auto" w:space="0"/>
          <w:bottom w:val="nil" w:sz="0" w:color="auto" w:space="0"/>
          <w:left w:val="nil" w:sz="0" w:color="auto" w:space="0"/>
          <w:right w:val="nil" w:sz="0" w:color="auto" w:space="0"/>
          <w:between w:val="nil" w:sz="0" w:color="auto" w:space="0"/>
        </w:pBdr>
        <w:rPr>
          <w:bCs w:val="1"/>
          <w:b/>
          <w:color w:val="000000"/>
          <w:rFonts w:ascii="游ゴシック" w:cs="游ゴシック" w:eastAsia="游ゴシック" w:hAnsi="游ゴシック"/>
          <w:sz w:val="22"/>
          <w:szCs w:val="22"/>
        </w:rPr>
      </w:pPr>
      <w:r w:rsidR="00000000" w:rsidDel="00000000" w:rsidRPr="00000000">
        <w:rPr>
          <w:rtl w:val="0"/>
        </w:rPr>
      </w:r>
    </w:p>
    <w:p w:rsidR="00000000" w:rsidDel="00000000" w:rsidRDefault="00000000" w14:paraId="00000026" w:rsidP="00000000" w:rsidRPr="00000000">
      <w:pPr>
        <w:rPr>
          <w:sz w:val="18"/>
          <w:szCs w:val="18"/>
        </w:rPr>
      </w:pPr>
      <w:r w:rsidR="00000000" w:rsidDel="00000000" w:rsidRPr="00000000">
        <w:rPr>
          <w:rtl w:val="0"/>
          <w:sz w:val="18"/>
          <w:szCs w:val="18"/>
        </w:rPr>
        <w:t>※この記事の内容および意見は執筆者個人に属し、日本貿易振興機構あるいはアジア経済研究所の公式意見を示すものではありません。</w:t>
      </w:r>
    </w:p>
    <w:p w:rsidR="00000000" w:rsidDel="00000000" w:rsidRDefault="00000000" w14:paraId="00000027" w:rsidP="00000000" w:rsidRPr="00000000">
      <w:pPr>
        <w:spacing w:line="20" w:lineRule="auto"/>
        <w:rPr>
          <w:sz w:val="18"/>
          <w:szCs w:val="18"/>
        </w:rPr>
      </w:pPr>
      <w:r w:rsidR="00000000" w:rsidDel="00000000" w:rsidRPr="00000000">
        <w:rPr>
          <w:rtl w:val="0"/>
        </w:rPr>
      </w:r>
    </w:p>
    <w:p w:rsidR="00000000" w:rsidDel="00000000" w:rsidRDefault="00000000" w14:paraId="00000028" w:rsidP="00000000" w:rsidRPr="00000000">
      <w:pPr>
        <w:pBdr>
          <w:top w:val="nil" w:sz="0" w:color="auto" w:space="0"/>
          <w:bottom w:val="nil" w:sz="0" w:color="auto" w:space="0"/>
          <w:left w:val="nil" w:sz="0" w:color="auto" w:space="0"/>
          <w:right w:val="nil" w:sz="0" w:color="auto" w:space="0"/>
          <w:between w:val="nil" w:sz="0" w:color="auto" w:space="0"/>
        </w:pBdr>
        <w:ind w:left="0"/>
        <w:ind w:firstLine="0"/>
        <w:rPr>
          <w:color w:val="000000"/>
        </w:rPr>
      </w:pPr>
      <w:r w:rsidR="00000000" w:rsidDel="00000000" w:rsidRPr="00000000">
        <w:rPr>
          <w:rtl w:val="0"/>
          <w:color w:val="000000"/>
        </w:rPr>
        <w:t xml:space="preserve"> </w:t>
      </w:r>
      <w:bookmarkStart w:colFirst="0" w:colLast="0" w:name="z1zdl7cbjxjl" w:id="0"/>
      <w:bookmarkEnd w:id="0"/>
      <w:r w:rsidR="00000000" w:rsidDel="00000000" w:rsidRPr="00000000">
        <w:rPr>
          <w:rtl w:val="0"/>
        </w:rPr>
      </w:r>
    </w:p>
    <w:bookmarkStart w:colFirst="0" w:colLast="0" w:name="bxqs418llcl5" w:id="1"/>
    <w:bookmarkEnd w:id="1"/>
    <w:p w:rsidR="00000000" w:rsidDel="00000000" w:rsidRDefault="00000000" w14:paraId="00000029" w:rsidP="00000000" w:rsidRPr="00000000">
      <w:pPr/>
      <w:r w:rsidR="00000000" w:rsidDel="00000000" w:rsidRPr="00000000">
        <w:rPr>
          <w:rtl w:val="0"/>
        </w:rPr>
      </w:r>
    </w:p>
    <w:p w:rsidR="00000000" w:rsidDel="00000000" w:rsidRDefault="00000000" w14:paraId="0000002A" w:rsidP="00000000" w:rsidRPr="00000000">
      <w:pPr>
        <w:ind w:left="210"/>
        <w:ind w:right="210"/>
        <w:ind w:firstLine="0"/>
      </w:pPr>
      <w:r w:rsidR="00000000" w:rsidDel="00000000" w:rsidRPr="00000000">
        <w:rPr>
          <w:rtl w:val="0"/>
        </w:rPr>
        <w:t>著者プロフィール</w:t>
      </w:r>
    </w:p>
    <w:p w:rsidR="00000000" w:rsidDel="00000000" w:rsidRDefault="00000000" w14:paraId="0000002B" w:rsidP="00000000" w:rsidRPr="00000000">
      <w:pPr>
        <w:spacing w:after="120"/>
      </w:pPr>
      <w:hyperlink r:id="rId14">
        <w:r w:rsidR="00000000" w:rsidDel="00000000" w:rsidRPr="00000000">
          <w:rPr>
            <w:rtl w:val="0"/>
            <w:color w:val="0563C1"/>
          </w:rPr>
          <w:t>伊藤成朗（いとうせいろう）</w:t>
        </w:r>
      </w:hyperlink>
      <w:r w:rsidR="00000000" w:rsidDel="00000000" w:rsidRPr="00000000">
        <w:rPr>
          <w:rtl w:val="0"/>
          <w:color w:val="0563C1"/>
        </w:rPr>
        <w:t>　</w:t>
      </w:r>
      <w:r w:rsidR="00000000" w:rsidDel="00000000" w:rsidRPr="00000000">
        <w:rPr>
          <w:rtl w:val="0"/>
        </w:rPr>
        <w:t>アジア経済研究所 開発研究センター、ミクロ経済分析グループ長。博士（経済学）。専門は開発経済学、応用ミクロ経済学、応用時系列分析。最近の著作に”</w:t>
      </w:r>
      <w:hyperlink r:id="rId15">
        <w:r w:rsidR="00000000" w:rsidDel="00000000" w:rsidRPr="00000000">
          <w:rPr>
            <w:rtl w:val="0"/>
            <w:u w:val="single"/>
            <w:color w:val="0000FF"/>
          </w:rPr>
          <w:t>Seasonality, academic calendar, and school dropouts in South Asia</w:t>
        </w:r>
      </w:hyperlink>
      <w:r w:rsidR="00000000" w:rsidDel="00000000" w:rsidRPr="00000000">
        <w:rPr>
          <w:rtl w:val="0"/>
        </w:rPr>
        <w:t>.”（Abu S. Shonchoyと共著、</w:t>
      </w:r>
      <w:r w:rsidR="00000000" w:rsidDel="00000000" w:rsidRPr="00000000">
        <w:rPr>
          <w:iCs w:val="1"/>
          <w:rtl w:val="0"/>
          <w:i/>
        </w:rPr>
        <w:t>Journal of Development Economics</w:t>
      </w:r>
      <w:r w:rsidR="00000000" w:rsidDel="00000000" w:rsidRPr="00000000">
        <w:rPr>
          <w:rtl w:val="0"/>
        </w:rPr>
        <w:t>, 2026, 103549）、主な著作に「</w:t>
      </w:r>
      <w:hyperlink r:id="rId16">
        <w:r w:rsidR="00000000" w:rsidDel="00000000" w:rsidRPr="00000000">
          <w:rPr>
            <w:rtl w:val="0"/>
            <w:color w:val="0563C1"/>
          </w:rPr>
          <w:t>南アフリカにおける最低賃金規制と農業生産</w:t>
        </w:r>
      </w:hyperlink>
      <w:r w:rsidR="00000000" w:rsidDel="00000000" w:rsidRPr="00000000">
        <w:rPr>
          <w:rtl w:val="0"/>
        </w:rPr>
        <w:t>」（『</w:t>
      </w:r>
      <w:hyperlink r:id="rId17">
        <w:r w:rsidR="00000000" w:rsidDel="00000000" w:rsidRPr="00000000">
          <w:rPr>
            <w:rtl w:val="0"/>
            <w:color w:val="0563C1"/>
          </w:rPr>
          <w:t>アジア経済</w:t>
        </w:r>
      </w:hyperlink>
      <w:r w:rsidR="00000000" w:rsidDel="00000000" w:rsidRPr="00000000">
        <w:rPr>
          <w:rtl w:val="0"/>
        </w:rPr>
        <w:t>』 2021年6月号）など。</w:t>
      </w:r>
    </w:p>
    <w:p w:rsidR="00000000" w:rsidDel="00000000" w:rsidRDefault="00000000" w14:paraId="0000002C" w:rsidP="00000000" w:rsidRPr="00000000">
      <w:pPr/>
      <w:r>
        <w:rPr>
          <w:noProof/>
        </w:rPr>
        <w:drawing>
          <wp:inline distB="0" distL="114300" distR="114300" distT="0">
            <wp:extent cx="1061720" cy="1440180"/>
            <wp:effectExtent b="0" l="0" r="0" t="0"/>
            <wp:docPr id="1" name="image1.png"/>
            <a:graphic>
              <a:graphicData uri="http://schemas.openxmlformats.org/drawingml/2006/picture">
                <pic:pic>
                  <pic:nvPicPr>
                    <pic:cNvPr id="0" name="image1.png"/>
                    <pic:cNvPicPr preferRelativeResize="0"/>
                  </pic:nvPicPr>
                  <pic:blipFill>
                    <a:blip r:embed="rId22"/>
                    <a:srcRect/>
                    <a:stretch>
                      <a:fillRect/>
                    </a:stretch>
                  </pic:blipFill>
                  <pic:spPr>
                    <a:xfrm>
                      <a:off x="0" y="0"/>
                      <a:ext cx="1062080" cy="1440807"/>
                    </a:xfrm>
                    <a:prstGeom prst="rect"/>
                    <a:ln/>
                  </pic:spPr>
                </pic:pic>
              </a:graphicData>
            </a:graphic>
          </wp:inline>
        </w:drawing>
      </w:r>
      <w:r>
        <w:rPr>
          <w:noProof/>
        </w:rPr>
        <w:drawing>
          <wp:inline distB="0" distL="114300" distR="114300" distT="0">
            <wp:extent cx="1019175" cy="1439545"/>
            <wp:effectExtent b="0" l="0" r="0" t="0"/>
            <wp:docPr id="3" name="image2.png"/>
            <a:graphic>
              <a:graphicData uri="http://schemas.openxmlformats.org/drawingml/2006/picture">
                <pic:pic>
                  <pic:nvPicPr>
                    <pic:cNvPr id="0" name="image2.png"/>
                    <pic:cNvPicPr preferRelativeResize="0"/>
                  </pic:nvPicPr>
                  <pic:blipFill>
                    <a:blip r:embed="rId21"/>
                    <a:srcRect/>
                    <a:stretch>
                      <a:fillRect/>
                    </a:stretch>
                  </pic:blipFill>
                  <pic:spPr>
                    <a:xfrm>
                      <a:off x="0" y="0"/>
                      <a:ext cx="1019327" cy="1440000"/>
                    </a:xfrm>
                    <a:prstGeom prst="rect"/>
                    <a:ln/>
                  </pic:spPr>
                </pic:pic>
              </a:graphicData>
            </a:graphic>
          </wp:inline>
        </w:drawing>
      </w:r>
      <w:r w:rsidR="00000000" w:rsidDel="00000000" w:rsidRPr="00000000">
        <w:rPr>
          <w:rtl w:val="0"/>
        </w:rPr>
      </w:r>
    </w:p>
    <w:sectPr>
      <w:headerReference r:id="rId20" w:type="default"/>
      <w:pgSz w:w="11906" w:h="16838" w:orient="portrait"/>
      <w:pgMar w:left="1701" w:right="1701" w:top="1985" w:bottom="1701" w:header="851" w:footer="992"/>
      <w:type w:val="continuous"/>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Times New Roman"/>
  <w:font w:name="游ゴシック"/>
  <w:font w:name="游明朝"/>
  <w:font w:name="Calibri"/>
  <w:font w:name="Cambria"/>
  <w:font w:name="Symbol"/>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上位階層ほど資産所得が増えて労働所得の割合は減るので、上位階層に教育が重要ではないということではありません。</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bl>
    <w:tblPr>
      <w:tblStyle w:val="Table1"/>
      <w:tblW w:w="85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7"/>
      <w:gridCol w:w="4149"/>
      <w:tblGridChange w:id="0">
        <w:tblGrid>
          <w:gridCol w:w="4357"/>
          <w:gridCol w:w="4149"/>
        </w:tblGrid>
      </w:tblGridChange>
    </w:tblGrid>
    <w:tr>
      <w:trPr>
        <w:cantSplit w:val="0"/>
        <w:tblHeader w:val="0"/>
      </w:trPr>
      <w:tc>
        <w:tcPr>
          <w:tcBorders>
            <w:top w:color="ed7d31" w:space="0" w:sz="12" w:val="single"/>
            <w:left w:color="000000" w:space="0" w:sz="0" w:val="nil"/>
            <w:bottom w:color="ed7d31" w:space="0" w:sz="12" w:val="single"/>
            <w:right w:color="000000" w:space="0" w:sz="0" w:val="nil"/>
          </w:tcBorders>
        </w:tcPr>
        <w:p w:rsidR="00000000" w:rsidDel="00000000" w:rsidP="00000000" w:rsidRDefault="00000000" w:rsidRPr="00000000" w14:paraId="00000030">
          <w:pPr>
            <w:rPr/>
          </w:pPr>
          <w:r w:rsidDel="00000000" w:rsidR="00000000" w:rsidRPr="00000000">
            <w:rPr>
              <w:rtl w:val="0"/>
            </w:rPr>
            <w:t xml:space="preserve">アジア経済研究所『IDEスクエア』</w:t>
          </w:r>
        </w:p>
      </w:tc>
      <w:tc>
        <w:tcPr>
          <w:tcBorders>
            <w:top w:color="ed7d31" w:space="0" w:sz="12" w:val="single"/>
            <w:left w:color="000000" w:space="0" w:sz="0" w:val="nil"/>
            <w:bottom w:color="ed7d31" w:space="0" w:sz="12" w:val="single"/>
            <w:right w:color="000000" w:space="0" w:sz="0" w:val="nil"/>
          </w:tcBorders>
        </w:tcPr>
        <w:p w:rsidR="00000000" w:rsidDel="00000000" w:rsidP="00000000" w:rsidRDefault="00000000" w:rsidRPr="00000000" w14:paraId="00000031">
          <w:pPr>
            <w:rPr/>
          </w:pPr>
          <w:r w:rsidDel="00000000" w:rsidR="00000000" w:rsidRPr="00000000">
            <w:rPr>
              <w:rtl w:val="0"/>
            </w:rPr>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drawing>
        <wp:inline distB="0" distT="0" distL="0" distR="0">
          <wp:extent cx="5410200" cy="1514475"/>
          <wp:effectExtent b="0" l="0" r="0" t="0"/>
          <wp:docPr descr="テキスト が含まれている画像&#10;&#10;自動的に生成された説明" id="2" name="image3.jpg"/>
          <a:graphic>
            <a:graphicData uri="http://schemas.openxmlformats.org/drawingml/2006/picture">
              <pic:pic>
                <pic:nvPicPr>
                  <pic:cNvPr descr="テキスト が含まれている画像&#10;&#10;自動的に生成された説明" id="0" name="image3.jpg"/>
                  <pic:cNvPicPr preferRelativeResize="0"/>
                </pic:nvPicPr>
                <pic:blipFill>
                  <a:blip r:embed="rId1"/>
                  <a:srcRect b="0" l="0" r="0" t="0"/>
                  <a:stretch>
                    <a:fillRect/>
                  </a:stretch>
                </pic:blipFill>
                <pic:spPr>
                  <a:xfrm>
                    <a:off x="0" y="0"/>
                    <a:ext cx="5410200" cy="151447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0121982">
    <w:abstractNumId w:val="10121982"/>
  </w:num>
  <w:num w:numId="10121983">
    <w:abstractNumId w:val="10121983"/>
  </w:num>
</w:numbering>
</file>

<file path=word/settings.xml><?xml version="1.0" encoding="utf-8"?>
<w:setting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40" w:lineRule="auto"/>
      <w:ind w:left="0" w:right="0" w:firstLine="0"/>
      <w:jc w:val="both"/>
    </w:pPr>
    <w:rPr>
      <w:rFonts w:ascii="游明朝" w:cs="游明朝" w:eastAsia="游明朝" w:hAnsi="游明朝"/>
      <w:b w:val="1"/>
      <w:bCs w:val="1"/>
      <w:i w:val="0"/>
      <w:iCs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both"/>
    </w:pPr>
    <w:rPr>
      <w:rFonts w:ascii="游明朝" w:cs="游明朝" w:eastAsia="游明朝" w:hAnsi="游明朝"/>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both"/>
    </w:pPr>
    <w:rPr>
      <w:rFonts w:ascii="游明朝" w:cs="游明朝" w:eastAsia="游明朝" w:hAnsi="游明朝"/>
      <w:b w:val="1"/>
      <w:bCs w:val="1"/>
      <w:i w:val="0"/>
      <w:iCs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0" w:line="240" w:lineRule="auto"/>
      <w:ind w:left="0" w:right="0" w:firstLine="0"/>
      <w:jc w:val="both"/>
    </w:pPr>
    <w:rPr>
      <w:rFonts w:ascii="游明朝" w:cs="游明朝" w:eastAsia="游明朝" w:hAnsi="游明朝"/>
      <w:b w:val="0"/>
      <w:bCs w:val="0"/>
      <w:i w:val="0"/>
      <w:iCs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pPr>
    <w:rPr>
      <w:rFonts w:ascii="游明朝" w:cs="游明朝" w:eastAsia="游明朝" w:hAnsi="游明朝"/>
      <w:b w:val="0"/>
      <w:bCs w:val="0"/>
      <w:i w:val="1"/>
      <w:iCs w:val="1"/>
      <w:smallCaps w:val="0"/>
      <w:strike w:val="0"/>
      <w:color w:val="4f81bd"/>
      <w:sz w:val="24"/>
      <w:szCs w:val="24"/>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hyperlink" Target="http://www.ide.go.jp/Japanese/Researchers/ito_seiro.html" TargetMode="External"/><Relationship Id="rId10" Type="http://schemas.openxmlformats.org/officeDocument/2006/relationships/footer" Target="footer1.xml"/><Relationship Id="rId13" Type="http://schemas.openxmlformats.org/officeDocument/2006/relationships/hyperlink" Target="https://doi.org/10.1093/qje/qjaf033" TargetMode="External"/><Relationship Id="rId12" Type="http://schemas.openxmlformats.org/officeDocument/2006/relationships/hyperlink" Target="https://www.ide.go.jp/English/Researchers/ito_seiro_e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5" Type="http://schemas.openxmlformats.org/officeDocument/2006/relationships/hyperlink" Target="https://www.sciencedirect.com/science/article/pii/S0304387825002007?dgcid=author" TargetMode="External"/><Relationship Id="rId14" Type="http://schemas.openxmlformats.org/officeDocument/2006/relationships/hyperlink" Target="http://www.ide.go.jp/Japanese/Researchers/ito_seiro.html" TargetMode="External"/><Relationship Id="rId17" Type="http://schemas.openxmlformats.org/officeDocument/2006/relationships/hyperlink" Target="https://www.ide.go.jp/Japanese/Publish/Periodicals/Ajia.html" TargetMode="External"/><Relationship Id="rId16" Type="http://schemas.openxmlformats.org/officeDocument/2006/relationships/hyperlink" Target="https://doi.org/10.24765/ajiakeizai.62.2_24" TargetMode="External"/><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21" Type="http://schemas.openxmlformats.org/officeDocument/2006/relationships/image" Target="media/image2.png"/><Relationship Id="rId2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