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36.jpg" ContentType="image/jpeg"/>
  <Override PartName="/word/media/rId24.jpg" ContentType="image/jpeg"/>
  <Override PartName="/word/media/rId27.jpg" ContentType="image/jpeg"/>
  <Override PartName="/word/media/rId41.jpg" ContentType="image/jpeg"/>
  <Override PartName="/word/media/rId4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49.jpg" ContentType="image/jpeg"/>
  <Override PartName="/word/media/rId5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Distributional growth accounting</w:t>
      </w:r>
      <w:r>
        <w:br/>
      </w:r>
      <w:r>
        <w:t xml:space="preserve">Education and reduction of global poverty, 1980-2019</w:t>
      </w:r>
      <w:r>
        <w:br/>
      </w:r>
      <w:r>
        <w:rPr>
          <w:i/>
          <w:iCs/>
        </w:rPr>
        <w:t xml:space="preserve">Quarterly Journal of Economics</w:t>
      </w:r>
      <w:r>
        <w:br/>
      </w:r>
      <w:r>
        <w:t xml:space="preserve">2025 (Volume 133), November (No.11)</w:t>
      </w:r>
    </w:p>
    <w:p>
      <w:pPr>
        <w:pStyle w:val="Author"/>
      </w:pPr>
      <w:r>
        <w:t xml:space="preserve">Amory Gethin</w:t>
      </w:r>
    </w:p>
    <w:p>
      <w:pPr>
        <w:pStyle w:val="Date"/>
      </w:pPr>
      <w:r>
        <w:t xml:space="preserve">November 20, 2025, 14:11 +0900</w:t>
      </w:r>
    </w:p>
    <w:p>
      <w:pPr>
        <w:pStyle w:val="FirstParagraph"/>
      </w:pPr>
      <w:r>
        <w:t xml:space="preserve">Amory Gethin, Distributional Growth Accounting: Education and the Reduction of Global Poverty, 1980–2019, The Quarterly Journal of Economics, Volume 140, Issue 4, November 2025, Pages 2571–2618, https://doi.org/10.1093/qje/qjaf033</w:t>
      </w:r>
    </w:p>
    <w:p>
      <w:pPr>
        <w:pStyle w:val="BodyText"/>
      </w:pPr>
      <w:hyperlink r:id="rId20">
        <w:r>
          <w:rPr>
            <w:rStyle w:val="Hyperlink"/>
          </w:rPr>
          <w:t xml:space="preserve">doi.org/10.1093/qje/qjaf033</w:t>
        </w:r>
      </w:hyperlink>
    </w:p>
    <w:bookmarkStart w:id="30" w:name="tl-dr"/>
    <w:p>
      <w:pPr>
        <w:pStyle w:val="Heading1"/>
      </w:pPr>
      <w:r>
        <w:t xml:space="preserve">TL; DR</w:t>
      </w:r>
    </w:p>
    <w:p>
      <w:pPr>
        <w:pStyle w:val="CaptionedFigure"/>
      </w:pPr>
      <w:r>
        <w:drawing>
          <wp:inline>
            <wp:extent cx="5334000" cy="5567389"/>
            <wp:effectExtent b="0" l="0" r="0" t="0"/>
            <wp:docPr descr="Elephant curve" title="" id="22" name="Picture"/>
            <a:graphic>
              <a:graphicData uri="http://schemas.openxmlformats.org/drawingml/2006/picture">
                <pic:pic>
                  <pic:nvPicPr>
                    <pic:cNvPr descr="Fig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Elephant curve</w:t>
      </w:r>
    </w:p>
    <w:p>
      <w:pPr>
        <w:pStyle w:val="BodyText"/>
      </w:pPr>
      <w:r>
        <w:drawing>
          <wp:inline>
            <wp:extent cx="5334000" cy="393512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D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8419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ab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Summary: Education expansion explains 40-70% of income growth for bottom 20% - middle 40% of world population</w:t>
      </w:r>
    </w:p>
    <w:p>
      <w:pPr>
        <w:pStyle w:val="Compact"/>
        <w:numPr>
          <w:ilvl w:val="0"/>
          <w:numId w:val="1001"/>
        </w:numPr>
      </w:pPr>
      <w:r>
        <w:t xml:space="preserve">New findings: Edu contribution is larger</w:t>
      </w:r>
    </w:p>
    <w:p>
      <w:pPr>
        <w:pStyle w:val="Compact"/>
        <w:numPr>
          <w:ilvl w:val="1"/>
          <w:numId w:val="1002"/>
        </w:numPr>
      </w:pPr>
      <w:r>
        <w:t xml:space="preserve">Than standard growth accounting decomposition, because current returns to schooling is depressed by increased supply of skilled labour</w:t>
      </w:r>
    </w:p>
    <w:p>
      <w:pPr>
        <w:pStyle w:val="Compact"/>
        <w:numPr>
          <w:ilvl w:val="1"/>
          <w:numId w:val="1002"/>
        </w:numPr>
      </w:pPr>
      <w:r>
        <w:t xml:space="preserve">For low income earners ← lower wage of skilled labour ← edu expansion</w:t>
      </w:r>
    </w:p>
    <w:p>
      <w:pPr>
        <w:pStyle w:val="Compact"/>
        <w:numPr>
          <w:ilvl w:val="0"/>
          <w:numId w:val="1001"/>
        </w:numPr>
      </w:pPr>
      <w:r>
        <w:t xml:space="preserve">Results validated: Compare with IV estimates under natural experiments in 3 countries</w:t>
      </w:r>
    </w:p>
    <w:p>
      <w:pPr>
        <w:pStyle w:val="Compact"/>
        <w:numPr>
          <w:ilvl w:val="0"/>
          <w:numId w:val="1001"/>
        </w:numPr>
      </w:pPr>
      <w:r>
        <w:t xml:space="preserve">Methodological innovation: Edu Contribution = independent edu expansion + skill biased tech change</w:t>
      </w:r>
    </w:p>
    <w:p>
      <w:pPr>
        <w:pStyle w:val="Compact"/>
        <w:numPr>
          <w:ilvl w:val="1"/>
          <w:numId w:val="1003"/>
        </w:numPr>
      </w:pPr>
      <w:r>
        <w:t xml:space="preserve">Labor econ: Supply and demand of skilled labour, within country</w:t>
      </w:r>
    </w:p>
    <w:p>
      <w:pPr>
        <w:pStyle w:val="Compact"/>
        <w:numPr>
          <w:ilvl w:val="1"/>
          <w:numId w:val="1003"/>
        </w:numPr>
      </w:pPr>
      <w:r>
        <w:t xml:space="preserve">Macro econ: Supply impacts of skilled labour, between country</w:t>
      </w:r>
    </w:p>
    <w:p>
      <w:pPr>
        <w:pStyle w:val="Compact"/>
        <w:numPr>
          <w:ilvl w:val="1"/>
          <w:numId w:val="1003"/>
        </w:numPr>
      </w:pPr>
      <w:r>
        <w:t xml:space="preserve">This paper consolidates the two</w:t>
      </w:r>
    </w:p>
    <w:p>
      <w:pPr>
        <w:pStyle w:val="Compact"/>
        <w:numPr>
          <w:ilvl w:val="0"/>
          <w:numId w:val="1001"/>
        </w:numPr>
      </w:pPr>
      <w:r>
        <w:t xml:space="preserve">Data: 1980-2019, harmonising various surveys (ILO, World Bank, national, etc.), factor income data, world inequality data</w:t>
      </w:r>
    </w:p>
    <w:p>
      <w:pPr>
        <w:pStyle w:val="Compact"/>
        <w:numPr>
          <w:ilvl w:val="0"/>
          <w:numId w:val="1001"/>
        </w:numPr>
      </w:pPr>
      <w:r>
        <w:t xml:space="preserve">Estimation/computation:</w:t>
      </w:r>
    </w:p>
    <w:p>
      <w:pPr>
        <w:pStyle w:val="Compact"/>
        <w:numPr>
          <w:ilvl w:val="1"/>
          <w:numId w:val="1004"/>
        </w:numPr>
      </w:pPr>
      <w:r>
        <w:t xml:space="preserve">OLS/IV for returns to schooling</w:t>
      </w:r>
    </w:p>
    <w:p>
      <w:pPr>
        <w:pStyle w:val="Compact"/>
        <w:numPr>
          <w:ilvl w:val="1"/>
          <w:numId w:val="1004"/>
        </w:numPr>
      </w:pPr>
      <w:r>
        <w:t xml:space="preserve">Growth decomposition under CES ← incorporate imperfect substitutability between skilled and unskilled labour</w:t>
      </w:r>
    </w:p>
    <w:p>
      <w:pPr>
        <w:pStyle w:val="Compact"/>
        <w:numPr>
          <w:ilvl w:val="1"/>
          <w:numId w:val="1004"/>
        </w:numPr>
      </w:pPr>
      <w:r>
        <w:t xml:space="preserve">Solve for SBTC using competitive profit maximisation given estimated schooling returns and human capital data</w:t>
      </w:r>
    </w:p>
    <w:p>
      <w:pPr>
        <w:pStyle w:val="Compact"/>
        <w:numPr>
          <w:ilvl w:val="1"/>
          <w:numId w:val="1004"/>
        </w:numPr>
      </w:pPr>
      <w:r>
        <w:t xml:space="preserve">Allow for firms’ endogenous response of elasticity of substitution (long-run EOS, but does not play a major role in analysis)</w:t>
      </w:r>
    </w:p>
    <w:p>
      <w:pPr>
        <w:pStyle w:val="Compact"/>
        <w:numPr>
          <w:ilvl w:val="0"/>
          <w:numId w:val="1001"/>
        </w:numPr>
      </w:pPr>
      <w:r>
        <w:t xml:space="preserve">Mechanism: none proposed, decomposition with labour demand considerations</w:t>
      </w:r>
    </w:p>
    <w:p>
      <w:pPr>
        <w:pStyle w:val="FirstParagraph"/>
      </w:pPr>
      <w:r>
        <w:t xml:space="preserve">Click here to see the variable definitions.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Output per capita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 capita physical capital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Labor input per capita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factor productivity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Capital share of income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Shares of low-skilled and high-skilled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θ</m:t>
                  </m:r>
                </m:e>
                <m:sub>
                  <m:r>
                    <m:t>1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Factor-augmenting technology terms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Elasticity of substitution between low-skilled and high-skilled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Technology level (skill bias)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Relative supply of skilled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Share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output growth accounted for by education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κ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κ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Parameters of the technology frontier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A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Technology parameters for skill group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Long-run elasticity of substitution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Wage of skill group j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annual earned income of individual 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Dummy for individual i having reached education level j (primary, secondary, tertiary)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Vector of controls for individual 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Coefficient for education level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Return to education level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bar>
                    <m:barPr>
                      <m:pos m:val="bot"/>
                    </m:barPr>
                    <m:e>
                      <m:r>
                        <m:t>t</m:t>
                      </m:r>
                      <m:r>
                        <m:t>e</m:t>
                      </m:r>
                      <m:r>
                        <m:t>r</m:t>
                      </m:r>
                    </m:e>
                  </m:ba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tertiary and non-tertiary educated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c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bar>
                    <m:barPr>
                      <m:pos m:val="bot"/>
                    </m:barPr>
                    <m:e>
                      <m:r>
                        <m:t>s</m:t>
                      </m:r>
                      <m:r>
                        <m:t>e</m:t>
                      </m:r>
                      <m:r>
                        <m:t>c</m:t>
                      </m:r>
                    </m:e>
                  </m:ba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secondary and below-secondary educated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n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primary and no schooling workers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Elasticities of substitution between skill groups in the nested model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nor/>
                      <m:sty m:val="p"/>
                    </m:rPr>
                    <m:t>annual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“True”</w:t>
            </w:r>
            <w:r>
              <w:t xml:space="preserve"> </w:t>
            </w:r>
            <w:r>
              <w:t xml:space="preserve">annualized return to schooling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years of schooling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Labor and mixed income of individual 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Education levels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Income of group p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α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Capital income share of group p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y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  <m:sup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income of group i in region r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years of schooling in region r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Vector of controls for region r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Instrumental variable for schooling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Region and time fixed effects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γ</m:t>
                  </m:r>
                </m:e>
                <m:sub>
                  <m:r>
                    <m:t>j</m:t>
                  </m:r>
                </m:sub>
                <m:sup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Coefficients in the regression model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standard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measure of human capital at time 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Mincerian return to schooling</w:t>
            </w:r>
          </w:p>
        </w:tc>
      </w:tr>
    </w:tbl>
    <w:bookmarkEnd w:id="30"/>
    <w:bookmarkStart w:id="33" w:name="model"/>
    <w:p>
      <w:pPr>
        <w:pStyle w:val="Heading1"/>
      </w:pPr>
      <w:r>
        <w:t xml:space="preserve">Model</w:t>
      </w:r>
    </w:p>
    <w:p>
      <w:pPr>
        <w:pStyle w:val="FirstParagraph"/>
      </w:pPr>
      <w:r>
        <w:t xml:space="preserve">Production function</w:t>
      </w:r>
      <w:r>
        <w:t xml:space="preserve"> </w:t>
      </w:r>
    </w:p>
    <w:p>
      <w:pPr>
        <w:pStyle w:val="BodyText"/>
      </w:pPr>
      <w:r>
        <w:t xml:space="preserve">Labour aggregator</w:t>
      </w:r>
      <w:r>
        <w:t xml:space="preserve"> </w:t>
      </w:r>
    </w:p>
    <w:p>
      <w:pPr>
        <w:pStyle w:val="BodyText"/>
      </w:pPr>
      <w:r>
        <w:t xml:space="preserve">Time difference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Contribution of education</w:t>
      </w:r>
    </w:p>
    <w:p>
      <w:pPr>
        <w:pStyle w:val="BodyText"/>
      </w:pPr>
      <w:r>
        <w:rPr>
          <w:i/>
          <w:iCs/>
        </w:rPr>
        <w:t xml:space="preserve">Total</w:t>
      </w:r>
      <w:r>
        <w:t xml:space="preserve"> </w:t>
      </w:r>
      <w:r>
        <w:t xml:space="preserve">(given elevated skill bias of 2019)</w:t>
      </w:r>
      <w:r>
        <w:t xml:space="preserve"> </w:t>
      </w:r>
    </w:p>
    <w:p>
      <w:pPr>
        <w:pStyle w:val="BodyText"/>
      </w:pPr>
      <w:r>
        <w:rPr>
          <w:i/>
          <w:iCs/>
        </w:rPr>
        <w:t xml:space="preserve">Independent</w:t>
      </w:r>
      <w:r>
        <w:t xml:space="preserve"> </w:t>
      </w:r>
      <w:r>
        <w:t xml:space="preserve">(given fixed skill bias of 1980)</w:t>
      </w:r>
      <w:r>
        <w:t xml:space="preserve"> </w:t>
      </w:r>
    </w:p>
    <w:p>
      <w:pPr>
        <w:pStyle w:val="BodyText"/>
      </w:pPr>
      <w:r>
        <w:rPr>
          <w:i/>
          <w:iCs/>
        </w:rPr>
        <w:t xml:space="preserve">Long-run</w:t>
      </w:r>
      <w:r>
        <w:t xml:space="preserve"> </w:t>
      </w:r>
      <w:r>
        <w:t xml:space="preserve">(with profit maximising skill bias)</w:t>
      </w:r>
      <w:r>
        <w:t xml:space="preserve"> </w:t>
      </w:r>
      <w:r>
        <w:t xml:space="preserve">elasticities</w:t>
      </w:r>
      <w:r>
        <w:rPr>
          <w:rStyle w:val="FootnoteReference"/>
        </w:rPr>
        <w:footnoteReference w:id="31"/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η</m:t>
        </m:r>
      </m:oMath>
      <w:r>
        <w:t xml:space="preserve"> </w:t>
      </w:r>
      <w:r>
        <w:t xml:space="preserve">(short-run elasticities)</w:t>
      </w:r>
      <w:r>
        <w:rPr>
          <w:rStyle w:val="FootnoteReference"/>
        </w:rPr>
        <w:footnoteReference w:id="32"/>
      </w:r>
    </w:p>
    <w:p>
      <w:pPr>
        <w:pStyle w:val="Compact"/>
        <w:numPr>
          <w:ilvl w:val="0"/>
          <w:numId w:val="1005"/>
        </w:numPr>
      </w:pPr>
      <w:r>
        <w:t xml:space="preserve">A smaller (than</w:t>
      </w:r>
      <w:r>
        <w:t xml:space="preserve"> </w:t>
      </w:r>
      <m:oMath>
        <m:r>
          <m:t>σ</m:t>
        </m:r>
      </m:oMath>
      <w:r>
        <w:t xml:space="preserve">), short-run elasticity of substitution (EOS)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= a measure of imperfect substitutability between skilled and unskilled labour (relative to long-run substitutability)</w:t>
      </w:r>
    </w:p>
    <w:p>
      <w:pPr>
        <w:pStyle w:val="FirstParagraph"/>
      </w:pPr>
      <w:r>
        <w:t xml:space="preserve">This paper treat educational choice as exogenous</w:t>
      </w:r>
    </w:p>
    <w:p>
      <w:pPr>
        <w:pStyle w:val="Compact"/>
        <w:numPr>
          <w:ilvl w:val="0"/>
          <w:numId w:val="1006"/>
        </w:numPr>
      </w:pPr>
      <w:r>
        <w:t xml:space="preserve">There is no survey data from 1980’s that allows modeling household choice as a response to the firm labour demand</w:t>
      </w:r>
    </w:p>
    <w:p>
      <w:pPr>
        <w:pStyle w:val="Compact"/>
        <w:numPr>
          <w:ilvl w:val="0"/>
          <w:numId w:val="1006"/>
        </w:numPr>
      </w:pPr>
      <w:r>
        <w:t xml:space="preserve">Use long-run EOS</w:t>
      </w:r>
      <w:r>
        <w:t xml:space="preserve"> </w:t>
      </w:r>
      <m:oMath>
        <m:r>
          <m:t>σ</m:t>
        </m:r>
      </m:oMath>
    </w:p>
    <w:p>
      <w:pPr>
        <w:pStyle w:val="FirstParagraph"/>
      </w:pPr>
      <w:r>
        <w:t xml:space="preserve">Return to schooling and human capital, skill bias</w:t>
      </w:r>
    </w:p>
    <w:p>
      <w:pPr>
        <w:pStyle w:val="Compact"/>
        <w:numPr>
          <w:ilvl w:val="0"/>
          <w:numId w:val="1007"/>
        </w:numPr>
      </w:pPr>
      <w:r>
        <w:t xml:space="preserve">Standard approach: human capital=f(fixed return to schooling, fixed skill bias)</w:t>
      </w:r>
    </w:p>
    <w:p>
      <w:pPr>
        <w:pStyle w:val="Compact"/>
        <w:numPr>
          <w:ilvl w:val="0"/>
          <w:numId w:val="1007"/>
        </w:numPr>
      </w:pPr>
      <w:r>
        <w:t xml:space="preserve">This paper:</w:t>
      </w:r>
    </w:p>
    <w:p>
      <w:pPr>
        <w:pStyle w:val="Compact"/>
        <w:numPr>
          <w:ilvl w:val="1"/>
          <w:numId w:val="1008"/>
        </w:numPr>
      </w:pPr>
      <w:r>
        <w:t xml:space="preserve">Return to schooling and skill bias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t xml:space="preserve"> </w:t>
      </w:r>
      <w:r>
        <w:t xml:space="preserve">are determined simultaneously</w:t>
      </w:r>
    </w:p>
    <w:p>
      <w:pPr>
        <w:pStyle w:val="Compact"/>
        <w:numPr>
          <w:ilvl w:val="1"/>
          <w:numId w:val="1008"/>
        </w:numPr>
      </w:pPr>
      <w:r>
        <w:t xml:space="preserve">Treat human capital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L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num>
          <m:den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t xml:space="preserve"> </w:t>
      </w:r>
      <w:r>
        <w:t xml:space="preserve">as exogenous</w:t>
      </w:r>
    </w:p>
    <w:p>
      <w:pPr>
        <w:pStyle w:val="FirstParagraph"/>
      </w:pPr>
    </w:p>
    <w:p>
      <w:pPr>
        <w:pStyle w:val="BodyText"/>
      </w:pPr>
      <w:r>
        <w:t xml:space="preserve">Implications of simultaneity (returns to schooling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num>
          <m:den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t xml:space="preserve">, skill bias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t xml:space="preserve">) on contribution of education expansion</w:t>
      </w:r>
    </w:p>
    <w:p>
      <w:pPr>
        <w:pStyle w:val="Compact"/>
        <w:numPr>
          <w:ilvl w:val="0"/>
          <w:numId w:val="1009"/>
        </w:numPr>
      </w:pPr>
      <w:r>
        <w:t xml:space="preserve">Share</w:t>
      </w:r>
      <m:oMath>
        <m:sSubSup>
          <m:e>
            <m:r>
              <m:t>​</m:t>
            </m:r>
          </m:e>
          <m:sub>
            <m:r>
              <m:t>L</m:t>
            </m:r>
          </m:sub>
          <m:sup>
            <m:sSup>
              <m:e>
                <m:r>
                  <m:t>θ</m:t>
                </m:r>
              </m:e>
              <m:sup>
                <m:r>
                  <m:t>2019</m:t>
                </m:r>
              </m:sup>
            </m:sSup>
          </m:sup>
        </m:sSubSup>
      </m:oMath>
      <w:r>
        <w:t xml:space="preserve">↑</w:t>
      </w:r>
    </w:p>
    <w:p>
      <w:pPr>
        <w:pStyle w:val="Compact"/>
        <w:numPr>
          <w:ilvl w:val="1"/>
          <w:numId w:val="1010"/>
        </w:numPr>
      </w:pPr>
      <w:r>
        <w:t xml:space="preserve">Education expansion ⇒ returns to schooling↓ ⇒ (returns to schooling×human capital)↓</w:t>
      </w:r>
    </w:p>
    <w:p>
      <w:pPr>
        <w:pStyle w:val="Compact"/>
        <w:numPr>
          <w:ilvl w:val="1"/>
          <w:numId w:val="1010"/>
        </w:numPr>
      </w:pPr>
      <w:r>
        <w:t xml:space="preserve">Holding returns to schooling fixed ⇒ contribution of education expansion↑</w:t>
      </w:r>
    </w:p>
    <w:p>
      <w:pPr>
        <w:pStyle w:val="Compact"/>
        <w:numPr>
          <w:ilvl w:val="0"/>
          <w:numId w:val="1009"/>
        </w:numPr>
      </w:pPr>
      <w:r>
        <w:t xml:space="preserve">Share</w:t>
      </w:r>
      <m:oMath>
        <m:sSubSup>
          <m:e>
            <m:r>
              <m:t>​</m:t>
            </m:r>
          </m:e>
          <m:sub>
            <m:r>
              <m:t>L</m:t>
            </m:r>
          </m:sub>
          <m:sup>
            <m:sSup>
              <m:e>
                <m:r>
                  <m:t>θ</m:t>
                </m:r>
              </m:e>
              <m:sup>
                <m:r>
                  <m:t>2019</m:t>
                </m:r>
              </m:sup>
            </m:sSup>
          </m:sup>
        </m:sSubSup>
      </m:oMath>
      <w:r>
        <w:t xml:space="preserve">↑ is greater at the lower end of EOS</w:t>
      </w:r>
    </w:p>
    <w:p>
      <w:pPr>
        <w:pStyle w:val="Compact"/>
        <w:numPr>
          <w:ilvl w:val="1"/>
          <w:numId w:val="1011"/>
        </w:numPr>
      </w:pPr>
      <w:r>
        <w:t xml:space="preserve">Lower values of EOS = smaller adjustments of EOS by firms ⇒ smaller adjustments of skill bias if human capital reverts to 1980 level ⇒ larger decline in outputs in counterfactual</w:t>
      </w:r>
    </w:p>
    <w:p>
      <w:pPr>
        <w:pStyle w:val="Compact"/>
        <w:numPr>
          <w:ilvl w:val="0"/>
          <w:numId w:val="1009"/>
        </w:numPr>
      </w:pPr>
      <w:r>
        <w:t xml:space="preserve">Share</w:t>
      </w:r>
      <m:oMath>
        <m:sSubSup>
          <m:e>
            <m:r>
              <m:t>​</m:t>
            </m:r>
          </m:e>
          <m:sub>
            <m:r>
              <m:t>L</m:t>
            </m:r>
          </m:sub>
          <m:sup>
            <m:sSup>
              <m:e>
                <m:r>
                  <m:t>θ</m:t>
                </m:r>
              </m:e>
              <m:sup>
                <m:r>
                  <m:t>2019</m:t>
                </m:r>
              </m:sup>
            </m:sSup>
          </m:sup>
        </m:sSubSup>
      </m:oMath>
      <w:r>
        <w:t xml:space="preserve"> </w:t>
      </w:r>
      <w:r>
        <w:t xml:space="preserve">- Share</w:t>
      </w:r>
      <m:oMath>
        <m:sSubSup>
          <m:e>
            <m:r>
              <m:t>​</m:t>
            </m:r>
          </m:e>
          <m:sub>
            <m:r>
              <m:t>L</m:t>
            </m:r>
          </m:sub>
          <m:sup>
            <m:sSup>
              <m:e>
                <m:r>
                  <m:t>θ</m:t>
                </m:r>
              </m:e>
              <m:sup>
                <m:r>
                  <m:t>1980</m:t>
                </m:r>
              </m:sup>
            </m:sSup>
          </m:sup>
        </m:sSubSup>
      </m:oMath>
      <w:r>
        <w:t xml:space="preserve"> </w:t>
      </w:r>
      <w:r>
        <w:t xml:space="preserve">(Total - Independent) is greater at lower EOS in (2)</w:t>
      </w:r>
    </w:p>
    <w:p>
      <w:pPr>
        <w:pStyle w:val="Compact"/>
        <w:numPr>
          <w:ilvl w:val="1"/>
          <w:numId w:val="1012"/>
        </w:numPr>
      </w:pPr>
      <w:r>
        <w:t xml:space="preserve">EOS↓ ⇒</w:t>
      </w:r>
      <w:r>
        <w:t xml:space="preserve"> </w:t>
      </w:r>
      <m:oMath>
        <m:r>
          <m:t>Δ</m:t>
        </m:r>
      </m:oMath>
      <w:r>
        <w:t xml:space="preserve">skill weights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1980</m:t>
                    </m:r>
                  </m:sup>
                </m:sSubSup>
              </m:num>
              <m:den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1980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2019</m:t>
                    </m:r>
                  </m:sup>
                </m:sSubSup>
              </m:num>
              <m:den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2019</m:t>
                    </m:r>
                  </m:sup>
                </m:sSubSup>
              </m:den>
            </m:f>
          </m:e>
        </m:d>
      </m:oMath>
      <w:r>
        <w:t xml:space="preserve">↑ ⇒</w:t>
      </w:r>
      <w:r>
        <w:t xml:space="preserve"> </w:t>
      </w:r>
      <m:oMath>
        <m:r>
          <m:t>Δ</m:t>
        </m:r>
      </m:oMath>
      <w:r>
        <w:t xml:space="preserve">skill bias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1980</m:t>
                    </m:r>
                  </m:sup>
                </m:sSubSup>
              </m:num>
              <m:den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1980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2019</m:t>
                    </m:r>
                  </m:sup>
                </m:sSubSup>
              </m:num>
              <m:den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2019</m:t>
                    </m:r>
                  </m:sup>
                </m:sSubSup>
              </m:den>
            </m:f>
          </m:e>
        </m:d>
      </m:oMath>
      <w:r>
        <w:t xml:space="preserve">↑</w:t>
      </w:r>
    </w:p>
    <w:p>
      <w:pPr>
        <w:pStyle w:val="Compact"/>
        <w:numPr>
          <w:ilvl w:val="1"/>
          <w:numId w:val="1012"/>
        </w:numPr>
      </w:pPr>
      <w:r>
        <w:t xml:space="preserve">Lower EOS ⇔ smaller contribution of skill bias ⇔ larger contribution of human capital (educational expansion)</w:t>
      </w:r>
    </w:p>
    <w:p>
      <w:pPr>
        <w:pStyle w:val="FirstParagraph"/>
      </w:pPr>
      <w:r>
        <w:rPr>
          <w:b/>
          <w:bCs/>
        </w:rPr>
        <w:t xml:space="preserve">Distributional effects of increasing</w:t>
      </w:r>
      <w:r>
        <w:rPr>
          <w:b/>
          <w:bCs/>
        </w:rPr>
        <w:t xml:space="preserve"> </w:t>
      </w:r>
      <m:oMath>
        <m:sSubSup>
          <m:e>
            <m:r>
              <m:t>L</m:t>
            </m:r>
          </m:e>
          <m:sub>
            <m:r>
              <m:t>2</m:t>
            </m:r>
          </m:sub>
          <m:sup>
            <m:r>
              <m:t>1980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sSubSup>
          <m:e>
            <m:r>
              <m:t>L</m:t>
            </m:r>
          </m:e>
          <m:sub>
            <m:r>
              <m:t>2</m:t>
            </m:r>
          </m:sub>
          <m:sup>
            <m:r>
              <m:t>2019</m:t>
            </m:r>
          </m:sup>
        </m:sSubSup>
      </m:oMath>
    </w:p>
    <w:p>
      <w:pPr>
        <w:pStyle w:val="BodyText"/>
      </w:pPr>
      <w:r>
        <w:t xml:space="preserve">Education↑ ⇒ labour income inequality↓</w:t>
      </w:r>
    </w:p>
    <w:p>
      <w:pPr>
        <w:pStyle w:val="Compact"/>
        <w:numPr>
          <w:ilvl w:val="0"/>
          <w:numId w:val="1013"/>
        </w:numPr>
      </w:pPr>
      <w:r>
        <w:t xml:space="preserve">Education expansion↑ ⇒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num>
          <m:den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t xml:space="preserve">↓</w:t>
      </w:r>
    </w:p>
    <w:p>
      <w:pPr>
        <w:pStyle w:val="Compact"/>
        <w:numPr>
          <w:ilvl w:val="0"/>
          <w:numId w:val="1013"/>
        </w:numPr>
      </w:pPr>
      <w:r>
        <w:t xml:space="preserve">Inequality↓ ⇐ EOS↓ (reduction impacts are larger when EOS is smaller)</w:t>
      </w:r>
    </w:p>
    <w:p>
      <w:pPr>
        <w:pStyle w:val="Compact"/>
        <w:numPr>
          <w:ilvl w:val="0"/>
          <w:numId w:val="1013"/>
        </w:numPr>
      </w:pPr>
      <w:r>
        <w:t xml:space="preserve">This effect is independent of skill bias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</w:p>
    <w:p>
      <w:pPr>
        <w:pStyle w:val="FirstParagraph"/>
      </w:pPr>
    </w:p>
    <w:bookmarkEnd w:id="33"/>
    <w:bookmarkStart w:id="34" w:name="data-sources"/>
    <w:p>
      <w:pPr>
        <w:pStyle w:val="Heading1"/>
      </w:pPr>
      <w:r>
        <w:t xml:space="preserve">Data sources</w:t>
      </w:r>
    </w:p>
    <w:p>
      <w:pPr>
        <w:pStyle w:val="Compact"/>
        <w:numPr>
          <w:ilvl w:val="0"/>
          <w:numId w:val="1014"/>
        </w:numPr>
      </w:pPr>
      <w:r>
        <w:t xml:space="preserve">International Labour Organization (ILO) Harmonized Microdata</w:t>
      </w:r>
    </w:p>
    <w:p>
      <w:pPr>
        <w:pStyle w:val="Compact"/>
        <w:numPr>
          <w:ilvl w:val="1"/>
          <w:numId w:val="1015"/>
        </w:numPr>
      </w:pPr>
      <w:r>
        <w:t xml:space="preserve">Individual-level survey data</w:t>
      </w:r>
    </w:p>
    <w:p>
      <w:pPr>
        <w:pStyle w:val="Compact"/>
        <w:numPr>
          <w:ilvl w:val="1"/>
          <w:numId w:val="1015"/>
        </w:numPr>
      </w:pPr>
      <w:r>
        <w:t xml:space="preserve">Coverage: 10 million individuals in 154 countries (c. 2019), representing over 95% of the world’s population</w:t>
      </w:r>
    </w:p>
    <w:p>
      <w:pPr>
        <w:pStyle w:val="Compact"/>
        <w:numPr>
          <w:ilvl w:val="1"/>
          <w:numId w:val="1015"/>
        </w:numPr>
      </w:pPr>
      <w:r>
        <w:t xml:space="preserve">To estimate baseline returns to schooling and construct counterfactual income distributions</w:t>
      </w:r>
    </w:p>
    <w:p>
      <w:pPr>
        <w:pStyle w:val="Compact"/>
        <w:numPr>
          <w:ilvl w:val="0"/>
          <w:numId w:val="1014"/>
        </w:numPr>
      </w:pPr>
      <w:r>
        <w:t xml:space="preserve">World Bank’s I2D2 (International Income Distribution Database)</w:t>
      </w:r>
    </w:p>
    <w:p>
      <w:pPr>
        <w:pStyle w:val="Compact"/>
        <w:numPr>
          <w:ilvl w:val="1"/>
          <w:numId w:val="1016"/>
        </w:numPr>
      </w:pPr>
      <w:r>
        <w:t xml:space="preserve">Historical household survey data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Survey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Typical Sample Size Range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smaller/targeted surveys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2,000 - 8,000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standard national surveys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10,000 - 30,000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large national/regional surveys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40,000 - 100,000+</w:t>
            </w:r>
          </w:p>
        </w:tc>
      </w:tr>
    </w:tbl>
    <w:p>
      <w:pPr>
        <w:pStyle w:val="Compact"/>
        <w:numPr>
          <w:ilvl w:val="1"/>
          <w:numId w:val="1017"/>
        </w:numPr>
      </w:pPr>
      <w:r>
        <w:t xml:space="preserve">Coverage: Data for 109 countries (c. 2000), representing about 80% of the world’s population</w:t>
      </w:r>
    </w:p>
    <w:p>
      <w:pPr>
        <w:pStyle w:val="Compact"/>
        <w:numPr>
          <w:ilvl w:val="1"/>
          <w:numId w:val="1017"/>
        </w:numPr>
      </w:pPr>
      <w:r>
        <w:t xml:space="preserve">To estimate skill-biased technical change</w:t>
      </w:r>
    </w:p>
    <w:p>
      <w:pPr>
        <w:pStyle w:val="Compact"/>
        <w:numPr>
          <w:ilvl w:val="0"/>
          <w:numId w:val="1014"/>
        </w:numPr>
      </w:pPr>
      <w:r>
        <w:t xml:space="preserve">Barro and Lee (2013) Database</w:t>
      </w:r>
    </w:p>
    <w:p>
      <w:pPr>
        <w:pStyle w:val="Compact"/>
        <w:numPr>
          <w:ilvl w:val="1"/>
          <w:numId w:val="1018"/>
        </w:numPr>
      </w:pPr>
      <w:r>
        <w:t xml:space="preserve">Time-series data on educational attainment</w:t>
      </w:r>
    </w:p>
    <w:p>
      <w:pPr>
        <w:pStyle w:val="Compact"/>
        <w:numPr>
          <w:ilvl w:val="1"/>
          <w:numId w:val="1018"/>
        </w:numPr>
      </w:pPr>
      <w:r>
        <w:t xml:space="preserve">Coverage: 146 countries from 1980-2019 (supplemented by other sources)</w:t>
      </w:r>
    </w:p>
    <w:p>
      <w:pPr>
        <w:pStyle w:val="Compact"/>
        <w:numPr>
          <w:ilvl w:val="1"/>
          <w:numId w:val="1018"/>
        </w:numPr>
      </w:pPr>
      <w:r>
        <w:t xml:space="preserve">To quantify the change in the supply of skilled labor over time</w:t>
      </w:r>
    </w:p>
    <w:p>
      <w:pPr>
        <w:pStyle w:val="Compact"/>
        <w:numPr>
          <w:ilvl w:val="0"/>
          <w:numId w:val="1014"/>
        </w:numPr>
      </w:pPr>
      <w:r>
        <w:t xml:space="preserve">World Inequality Database (WID)</w:t>
      </w:r>
    </w:p>
    <w:p>
      <w:pPr>
        <w:pStyle w:val="Compact"/>
        <w:numPr>
          <w:ilvl w:val="1"/>
          <w:numId w:val="1019"/>
        </w:numPr>
      </w:pPr>
      <w:r>
        <w:t xml:space="preserve">Macro-level income distribution data</w:t>
      </w:r>
    </w:p>
    <w:p>
      <w:pPr>
        <w:pStyle w:val="Compact"/>
        <w:numPr>
          <w:ilvl w:val="1"/>
          <w:numId w:val="1019"/>
        </w:numPr>
      </w:pPr>
      <w:r>
        <w:t xml:space="preserve">Coverage: Global (all countries) from 1980-2019</w:t>
      </w:r>
    </w:p>
    <w:p>
      <w:pPr>
        <w:pStyle w:val="Compact"/>
        <w:numPr>
          <w:ilvl w:val="1"/>
          <w:numId w:val="1019"/>
        </w:numPr>
      </w:pPr>
      <w:r>
        <w:t xml:space="preserve">To benchmark microdata against macroeconomic growth rates</w:t>
      </w:r>
    </w:p>
    <w:p>
      <w:pPr>
        <w:pStyle w:val="Compact"/>
        <w:numPr>
          <w:ilvl w:val="0"/>
          <w:numId w:val="1014"/>
        </w:numPr>
      </w:pPr>
      <w:r>
        <w:t xml:space="preserve">World Bank Data Portal</w:t>
      </w:r>
    </w:p>
    <w:p>
      <w:pPr>
        <w:pStyle w:val="Compact"/>
        <w:numPr>
          <w:ilvl w:val="1"/>
          <w:numId w:val="1020"/>
        </w:numPr>
      </w:pPr>
      <w:r>
        <w:t xml:space="preserve">Global poverty statistics</w:t>
      </w:r>
    </w:p>
    <w:p>
      <w:pPr>
        <w:pStyle w:val="Compact"/>
        <w:numPr>
          <w:ilvl w:val="1"/>
          <w:numId w:val="1020"/>
        </w:numPr>
      </w:pPr>
      <w:r>
        <w:t xml:space="preserve">Coverage: Global</w:t>
      </w:r>
    </w:p>
    <w:p>
      <w:pPr>
        <w:pStyle w:val="Compact"/>
        <w:numPr>
          <w:ilvl w:val="1"/>
          <w:numId w:val="1020"/>
        </w:numPr>
      </w:pPr>
      <w:r>
        <w:t xml:space="preserve">To calculate education’s contribution to poverty reduction</w:t>
      </w:r>
    </w:p>
    <w:p>
      <w:pPr>
        <w:pStyle w:val="Compact"/>
        <w:numPr>
          <w:ilvl w:val="0"/>
          <w:numId w:val="1014"/>
        </w:numPr>
      </w:pPr>
      <w:r>
        <w:t xml:space="preserve">Penn World Tables &amp; Bachas et al. (2022)</w:t>
      </w:r>
    </w:p>
    <w:p>
      <w:pPr>
        <w:pStyle w:val="Compact"/>
        <w:numPr>
          <w:ilvl w:val="1"/>
          <w:numId w:val="1021"/>
        </w:numPr>
      </w:pPr>
      <w:r>
        <w:t xml:space="preserve">Country-level factor income shares</w:t>
      </w:r>
    </w:p>
    <w:p>
      <w:pPr>
        <w:pStyle w:val="Compact"/>
        <w:numPr>
          <w:ilvl w:val="1"/>
          <w:numId w:val="1021"/>
        </w:numPr>
      </w:pPr>
      <w:r>
        <w:t xml:space="preserve">Coverage: Broad cross-country coverage</w:t>
      </w:r>
    </w:p>
    <w:p>
      <w:pPr>
        <w:pStyle w:val="Compact"/>
        <w:numPr>
          <w:ilvl w:val="1"/>
          <w:numId w:val="1021"/>
        </w:numPr>
      </w:pPr>
      <w:r>
        <w:t xml:space="preserve">To conduct standard growth accounting comparisons</w:t>
      </w:r>
    </w:p>
    <w:p>
      <w:pPr>
        <w:pStyle w:val="Compact"/>
        <w:numPr>
          <w:ilvl w:val="0"/>
          <w:numId w:val="1014"/>
        </w:numPr>
      </w:pPr>
      <w:r>
        <w:t xml:space="preserve">Previous Academic Studies (Khanna 2023; Duflo 2001; etc.)</w:t>
      </w:r>
    </w:p>
    <w:p>
      <w:pPr>
        <w:pStyle w:val="Compact"/>
        <w:numPr>
          <w:ilvl w:val="1"/>
          <w:numId w:val="1022"/>
        </w:numPr>
      </w:pPr>
      <w:r>
        <w:t xml:space="preserve">Regional data on education policy exposure</w:t>
      </w:r>
    </w:p>
    <w:p>
      <w:pPr>
        <w:pStyle w:val="Compact"/>
        <w:numPr>
          <w:ilvl w:val="1"/>
          <w:numId w:val="1022"/>
        </w:numPr>
      </w:pPr>
      <w:r>
        <w:t xml:space="preserve">Coverage: Subnational regions within India, Indonesia, and the United States</w:t>
      </w:r>
    </w:p>
    <w:p>
      <w:pPr>
        <w:pStyle w:val="Compact"/>
        <w:numPr>
          <w:ilvl w:val="1"/>
          <w:numId w:val="1022"/>
        </w:numPr>
      </w:pPr>
      <w:r>
        <w:t xml:space="preserve">To validate the model’s predictions using natural experiments</w:t>
      </w:r>
    </w:p>
    <w:p>
      <w:pPr>
        <w:pStyle w:val="FirstParagraph"/>
      </w:pPr>
      <w:r>
        <w:t xml:space="preserve">Estimation of returns to schooling</w:t>
      </w:r>
    </w:p>
    <w:p>
      <w:pPr>
        <w:pStyle w:val="BodyText"/>
      </w:pPr>
      <w:r>
        <w:t xml:space="preserve"> </w:t>
      </w:r>
      <w:r>
        <w:t xml:space="preserve">Marginal returns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* Returns to schooling look convex (Figure II)</w:t>
      </w:r>
      <w:r>
        <w:t xml:space="preserve"> </w:t>
      </w:r>
      <w:r>
        <w:t xml:space="preserve">* The paper also compiles 33 studies using both IV and OLS, show IV estimates are larger (Figure III)</w:t>
      </w:r>
      <w:r>
        <w:t xml:space="preserve"> </w:t>
      </w:r>
      <w:r>
        <w:t xml:space="preserve">* It looks like it blows up OLS by some percentage to correct the bias, calling it as</w:t>
      </w:r>
      <w:r>
        <w:t xml:space="preserve"> </w:t>
      </w:r>
      <w:r>
        <w:t xml:space="preserve">“upward-corrected using IV-OLS gaps”</w:t>
      </w:r>
      <w:r>
        <w:t xml:space="preserve"> </w:t>
      </w:r>
      <w:r>
        <w:t xml:space="preserve">* Mean gap is about 40%</w:t>
      </w:r>
      <w:r>
        <w:t xml:space="preserve"> </w:t>
      </w:r>
      <w:r>
        <w:t xml:space="preserve">* Convexity of returns remains in IV estimates</w:t>
      </w:r>
    </w:p>
    <w:bookmarkEnd w:id="34"/>
    <w:bookmarkStart w:id="40" w:name="methodology"/>
    <w:p>
      <w:pPr>
        <w:pStyle w:val="Heading1"/>
      </w:pPr>
      <w:r>
        <w:t xml:space="preserve">Methodology</w:t>
      </w:r>
    </w:p>
    <w:bookmarkStart w:id="35" w:name="solve-the-model"/>
    <w:p>
      <w:pPr>
        <w:pStyle w:val="Heading2"/>
      </w:pPr>
      <w:r>
        <w:t xml:space="preserve">Solve the model</w:t>
      </w:r>
    </w:p>
    <w:p>
      <w:pPr>
        <w:pStyle w:val="Compact"/>
        <w:numPr>
          <w:ilvl w:val="0"/>
          <w:numId w:val="1023"/>
        </w:numPr>
      </w:pPr>
      <w:r>
        <w:t xml:space="preserve">Assume nested CES production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t xml:space="preserve">Set EOS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</m:oMath>
    </w:p>
    <w:p>
      <w:pPr>
        <w:pStyle w:val="Compact"/>
        <w:numPr>
          <w:ilvl w:val="0"/>
          <w:numId w:val="1023"/>
        </w:numPr>
      </w:pPr>
      <w:r>
        <w:t xml:space="preserve">Solve the model</w:t>
      </w:r>
      <w:r>
        <w:t xml:space="preserve"> </w:t>
      </w:r>
    </w:p>
    <w:p>
      <w:pPr>
        <w:pStyle w:val="Compact"/>
        <w:numPr>
          <w:ilvl w:val="1"/>
          <w:numId w:val="1024"/>
        </w:numPr>
      </w:pPr>
      <w:r>
        <w:t xml:space="preserve">3 equations ⇒ recover unknowns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p</m:t>
                </m:r>
                <m:r>
                  <m:t>r</m:t>
                </m:r>
                <m:r>
                  <m:t>i</m:t>
                </m:r>
              </m:sub>
              <m:sup>
                <m:r>
                  <m:t>2019</m:t>
                </m:r>
              </m:sup>
            </m:sSubSup>
          </m:num>
          <m:den>
            <m:sSubSup>
              <m:e>
                <m:r>
                  <m:t>A</m:t>
                </m:r>
              </m:e>
              <m:sub>
                <m:r>
                  <m:t>n</m:t>
                </m:r>
                <m:r>
                  <m:t>o</m:t>
                </m:r>
                <m:r>
                  <m:t>n</m:t>
                </m:r>
              </m:sub>
              <m:sup>
                <m:r>
                  <m:t>2019</m:t>
                </m:r>
              </m:sup>
            </m:sSubSup>
          </m:den>
        </m:f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s</m:t>
                </m:r>
                <m:r>
                  <m:t>e</m:t>
                </m:r>
                <m:r>
                  <m:t>c</m:t>
                </m:r>
              </m:sub>
              <m:sup>
                <m:r>
                  <m:t>2019</m:t>
                </m:r>
              </m:sup>
            </m:sSubSup>
          </m:num>
          <m:den>
            <m:sSubSup>
              <m:e>
                <m:r>
                  <m:t>A</m:t>
                </m:r>
              </m:e>
              <m:sub>
                <m:acc>
                  <m:accPr>
                    <m:chr m:val="‾"/>
                  </m:accPr>
                  <m:e>
                    <m:r>
                      <m:t>s</m:t>
                    </m:r>
                    <m:r>
                      <m:t>e</m:t>
                    </m:r>
                    <m:r>
                      <m:t>c</m:t>
                    </m:r>
                  </m:e>
                </m:acc>
              </m:sub>
              <m:sup>
                <m:r>
                  <m:t>2019</m:t>
                </m:r>
              </m:sup>
            </m:sSubSup>
          </m:den>
        </m:f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t>A</m:t>
                </m:r>
              </m:e>
              <m:sub>
                <m:r>
                  <m:t>t</m:t>
                </m:r>
                <m:r>
                  <m:t>e</m:t>
                </m:r>
                <m:r>
                  <m:t>r</m:t>
                </m:r>
              </m:sub>
              <m:sup>
                <m:r>
                  <m:t>2019</m:t>
                </m:r>
              </m:sup>
            </m:sSubSup>
          </m:num>
          <m:den>
            <m:sSubSup>
              <m:e>
                <m:r>
                  <m:t>A</m:t>
                </m:r>
              </m:e>
              <m:sub>
                <m:acc>
                  <m:accPr>
                    <m:chr m:val="‾"/>
                  </m:accPr>
                  <m:e>
                    <m:r>
                      <m:t>t</m:t>
                    </m:r>
                    <m:r>
                      <m:t>e</m:t>
                    </m:r>
                    <m:r>
                      <m:t>r</m:t>
                    </m:r>
                  </m:e>
                </m:acc>
              </m:sub>
              <m:sup>
                <m:r>
                  <m:t>2019</m:t>
                </m:r>
              </m:sup>
            </m:sSubSup>
          </m:den>
        </m:f>
      </m:oMath>
    </w:p>
    <w:p>
      <w:pPr>
        <w:pStyle w:val="Compact"/>
        <w:numPr>
          <w:ilvl w:val="0"/>
          <w:numId w:val="1023"/>
        </w:numPr>
      </w:pPr>
      <w:r>
        <w:t xml:space="preserve">Compute implied returns to schooling</w:t>
      </w:r>
      <w:r>
        <w:t xml:space="preserve"> </w:t>
      </w:r>
    </w:p>
    <w:bookmarkEnd w:id="35"/>
    <w:bookmarkStart w:id="39" w:name="X162718b5a728394025d45e7e4d2e92e924a1bbf"/>
    <w:p>
      <w:pPr>
        <w:pStyle w:val="Heading2"/>
      </w:pPr>
      <w:r>
        <w:t xml:space="preserve">Distributional growth accounting exercise</w:t>
      </w:r>
    </w:p>
    <w:p>
      <w:pPr>
        <w:pStyle w:val="Compact"/>
        <w:numPr>
          <w:ilvl w:val="0"/>
          <w:numId w:val="1025"/>
        </w:numPr>
      </w:pPr>
      <w:r>
        <w:t xml:space="preserve">Downgrade education levels as a policy exercise</w:t>
      </w:r>
    </w:p>
    <w:p>
      <w:pPr>
        <w:pStyle w:val="Compact"/>
        <w:numPr>
          <w:ilvl w:val="0"/>
          <w:numId w:val="1025"/>
        </w:numPr>
      </w:pPr>
      <w:r>
        <w:t xml:space="preserve">Adjust wages to downgraded education levels, recompute labour incomes</w:t>
      </w:r>
      <w:r>
        <w:t xml:space="preserve"> </w:t>
      </w:r>
    </w:p>
    <w:p>
      <w:pPr>
        <w:pStyle w:val="Compact"/>
        <w:numPr>
          <w:ilvl w:val="0"/>
          <w:numId w:val="1025"/>
        </w:numPr>
      </w:pPr>
      <w:r>
        <w:t xml:space="preserve">Assume capital is unaffected and compute capital incomes</w:t>
      </w:r>
    </w:p>
    <w:p>
      <w:pPr>
        <w:pStyle w:val="Compact"/>
        <w:numPr>
          <w:ilvl w:val="0"/>
          <w:numId w:val="1025"/>
        </w:numPr>
      </w:pPr>
      <w:r>
        <w:t xml:space="preserve">Total income = labour income + capital income</w:t>
      </w:r>
    </w:p>
    <w:p>
      <w:pPr>
        <w:pStyle w:val="Compact"/>
        <w:numPr>
          <w:ilvl w:val="0"/>
          <w:numId w:val="1025"/>
        </w:numPr>
      </w:pPr>
      <w:r>
        <w:t xml:space="preserve">Growth accounting</w:t>
      </w:r>
      <w:r>
        <w:t xml:space="preserve"> </w:t>
      </w:r>
    </w:p>
    <w:p>
      <w:pPr>
        <w:pStyle w:val="FirstParagraph"/>
      </w:pPr>
      <w:r>
        <w:drawing>
          <wp:inline>
            <wp:extent cx="5334000" cy="501766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r>
        <w:t xml:space="preserve">Validation using DPEP (India, IV=RDD cutoff), INPRES (Indonesia, IV=number of schools built), Compulsory schooling laws (US, IV=Birth-State cohort)</w:t>
      </w:r>
      <w:r>
        <w:t xml:space="preserve"> </w:t>
      </w:r>
      <w:r>
        <w:t xml:space="preserve"> </w:t>
      </w:r>
      <w:r>
        <w:t xml:space="preserve">Figure V shows estimated returns to schooling: IV</w:t>
      </w:r>
      <w:r>
        <w:t xml:space="preserve"> </w:t>
      </w:r>
      <m:oMath>
        <m:r>
          <m:rPr>
            <m:sty m:val="p"/>
          </m:rPr>
          <m:t>≃</m:t>
        </m:r>
      </m:oMath>
      <w:r>
        <w:t xml:space="preserve"> </w:t>
      </w:r>
      <w:r>
        <w:t xml:space="preserve">OLS</w:t>
      </w:r>
    </w:p>
    <w:p>
      <w:pPr>
        <w:pStyle w:val="Compact"/>
        <w:numPr>
          <w:ilvl w:val="1"/>
          <w:numId w:val="1027"/>
        </w:numPr>
      </w:pPr>
      <w:r>
        <w:t xml:space="preserve">OLS estimates are validated</w:t>
      </w:r>
    </w:p>
    <w:bookmarkEnd w:id="39"/>
    <w:bookmarkEnd w:id="40"/>
    <w:bookmarkStart w:id="56" w:name="results"/>
    <w:p>
      <w:pPr>
        <w:pStyle w:val="Heading1"/>
      </w:pPr>
      <w:r>
        <w:t xml:space="preserve">Results</w:t>
      </w:r>
    </w:p>
    <w:bookmarkStart w:id="47" w:name="main-results"/>
    <w:p>
      <w:pPr>
        <w:pStyle w:val="Heading2"/>
      </w:pPr>
      <w:r>
        <w:t xml:space="preserve">Main results</w:t>
      </w:r>
    </w:p>
    <w:p>
      <w:pPr>
        <w:pStyle w:val="FirstParagraph"/>
      </w:pPr>
      <w:r>
        <w:drawing>
          <wp:inline>
            <wp:extent cx="5334000" cy="38149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Tab4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56026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Tab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0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Elephant curve (Fig 1)</w:t>
      </w:r>
    </w:p>
    <w:p>
      <w:pPr>
        <w:pStyle w:val="Compact"/>
        <w:numPr>
          <w:ilvl w:val="1"/>
          <w:numId w:val="1029"/>
        </w:numPr>
      </w:pPr>
      <w:r>
        <w:t xml:space="preserve">Rise of China, India</w:t>
      </w:r>
    </w:p>
    <w:p>
      <w:pPr>
        <w:pStyle w:val="Compact"/>
        <w:numPr>
          <w:ilvl w:val="1"/>
          <w:numId w:val="1029"/>
        </w:numPr>
      </w:pPr>
      <w:r>
        <w:t xml:space="preserve">Sluggish growth in low income countries</w:t>
      </w:r>
    </w:p>
    <w:p>
      <w:pPr>
        <w:pStyle w:val="Compact"/>
        <w:numPr>
          <w:ilvl w:val="1"/>
          <w:numId w:val="1029"/>
        </w:numPr>
      </w:pPr>
      <w:r>
        <w:t xml:space="preserve">Weak income growth for most of HHs in high income countries</w:t>
      </w:r>
    </w:p>
    <w:p>
      <w:pPr>
        <w:pStyle w:val="Compact"/>
        <w:numPr>
          <w:ilvl w:val="1"/>
          <w:numId w:val="1029"/>
        </w:numPr>
      </w:pPr>
      <w:r>
        <w:t xml:space="preserve">Sky rocketing top income inequality in many countries</w:t>
      </w:r>
    </w:p>
    <w:p>
      <w:pPr>
        <w:pStyle w:val="Compact"/>
        <w:numPr>
          <w:ilvl w:val="0"/>
          <w:numId w:val="1030"/>
        </w:numPr>
      </w:pPr>
      <w:r>
        <w:t xml:space="preserve">Share of below extreme poverty↓ (Tab 4)</w:t>
      </w:r>
    </w:p>
    <w:p>
      <w:pPr>
        <w:pStyle w:val="Compact"/>
        <w:numPr>
          <w:ilvl w:val="1"/>
          <w:numId w:val="1031"/>
        </w:numPr>
      </w:pPr>
      <w:r>
        <w:t xml:space="preserve">Education: 35% of</w:t>
      </w:r>
      <w:r>
        <w:t xml:space="preserve"> </w:t>
      </w:r>
      <m:oMath>
        <m:r>
          <m:t>Δ</m:t>
        </m:r>
      </m:oMath>
      <w:r>
        <w:t xml:space="preserve">share (USD 2.15/day)</w:t>
      </w:r>
    </w:p>
    <w:p>
      <w:pPr>
        <w:pStyle w:val="Compact"/>
        <w:numPr>
          <w:ilvl w:val="0"/>
          <w:numId w:val="1030"/>
        </w:numPr>
      </w:pPr>
      <w:r>
        <w:t xml:space="preserve">Use of returns to schooling on total income</w:t>
      </w:r>
    </w:p>
    <w:p>
      <w:pPr>
        <w:pStyle w:val="Compact"/>
        <w:numPr>
          <w:ilvl w:val="1"/>
          <w:numId w:val="1032"/>
        </w:numPr>
      </w:pPr>
      <w:r>
        <w:t xml:space="preserve">OLS estimates: labour income</w:t>
      </w:r>
      <w:r>
        <w:t xml:space="preserve"> </w:t>
      </w:r>
      <m:oMath>
        <m:r>
          <m:rPr>
            <m:sty m:val="p"/>
          </m:rPr>
          <m:t>≃</m:t>
        </m:r>
      </m:oMath>
      <w:r>
        <w:t xml:space="preserve"> </w:t>
      </w:r>
      <w:r>
        <w:t xml:space="preserve">capital income</w:t>
      </w:r>
    </w:p>
    <w:p>
      <w:pPr>
        <w:pStyle w:val="Compact"/>
        <w:numPr>
          <w:ilvl w:val="1"/>
          <w:numId w:val="1032"/>
        </w:numPr>
      </w:pPr>
      <w:r>
        <w:t xml:space="preserve">Bachas et al. (2022) factor share data, not Penn World Table</w:t>
      </w:r>
    </w:p>
    <w:p>
      <w:pPr>
        <w:pStyle w:val="Compact"/>
        <w:numPr>
          <w:ilvl w:val="0"/>
          <w:numId w:val="1030"/>
        </w:numPr>
      </w:pPr>
      <w:r>
        <w:t xml:space="preserve">Incorporate within-country inequality ⇒ contribution of education↑ for bottom 20% of the world, because:</w:t>
      </w:r>
    </w:p>
    <w:p>
      <w:pPr>
        <w:pStyle w:val="Compact"/>
        <w:numPr>
          <w:ilvl w:val="1"/>
          <w:numId w:val="1033"/>
        </w:numPr>
      </w:pPr>
      <w:r>
        <w:t xml:space="preserve">Bottom 20% = low income + middle income (more improvements)</w:t>
      </w:r>
    </w:p>
    <w:p>
      <w:pPr>
        <w:pStyle w:val="Compact"/>
        <w:numPr>
          <w:ilvl w:val="1"/>
          <w:numId w:val="1033"/>
        </w:numPr>
      </w:pPr>
      <w:r>
        <w:t xml:space="preserve">Inequality↑ in many countries ⇒ less growth to be explained for the poor</w:t>
      </w:r>
    </w:p>
    <w:p>
      <w:pPr>
        <w:pStyle w:val="Compact"/>
        <w:numPr>
          <w:ilvl w:val="0"/>
          <w:numId w:val="1030"/>
        </w:numPr>
      </w:pPr>
      <w:r>
        <w:t xml:space="preserve">Incorporate within-country capital income inequality ⇒ contribution of education↑ for bottom 20% of the world</w:t>
      </w:r>
    </w:p>
    <w:p>
      <w:pPr>
        <w:pStyle w:val="Compact"/>
        <w:numPr>
          <w:ilvl w:val="1"/>
          <w:numId w:val="1034"/>
        </w:numPr>
      </w:pPr>
      <w:r>
        <w:t xml:space="preserve">Passthrough is 100% for low income earners, but only labour income share for top earners</w:t>
      </w:r>
    </w:p>
    <w:p>
      <w:pPr>
        <w:pStyle w:val="Compact"/>
        <w:numPr>
          <w:ilvl w:val="0"/>
          <w:numId w:val="1030"/>
        </w:numPr>
      </w:pPr>
      <w:r>
        <w:t xml:space="preserve">Microdata ⇒ returns differ by country and education level ⇒ contribution of education↓</w:t>
      </w:r>
    </w:p>
    <w:p>
      <w:pPr>
        <w:pStyle w:val="Compact"/>
        <w:numPr>
          <w:ilvl w:val="1"/>
          <w:numId w:val="1035"/>
        </w:numPr>
      </w:pPr>
      <w:r>
        <w:t xml:space="preserve">Estimated mean returns are 8%, smaller than standard exercise 10%</w:t>
      </w:r>
    </w:p>
    <w:p>
      <w:pPr>
        <w:pStyle w:val="Compact"/>
        <w:numPr>
          <w:ilvl w:val="0"/>
          <w:numId w:val="1030"/>
        </w:numPr>
      </w:pPr>
      <w:r>
        <w:t xml:space="preserve">Relative supply of skilled workers↑ ⇒ contribution of education↑ for bottom 20% of the world</w:t>
      </w:r>
    </w:p>
    <w:p>
      <w:pPr>
        <w:pStyle w:val="Compact"/>
        <w:numPr>
          <w:ilvl w:val="1"/>
          <w:numId w:val="1036"/>
        </w:numPr>
      </w:pPr>
      <w:r>
        <w:t xml:space="preserve">Relative wage of skilled↓ + increased skilled workers among low income↑</w:t>
      </w:r>
    </w:p>
    <w:p>
      <w:pPr>
        <w:pStyle w:val="Compact"/>
        <w:numPr>
          <w:ilvl w:val="1"/>
          <w:numId w:val="1036"/>
        </w:numPr>
      </w:pPr>
      <w:r>
        <w:t xml:space="preserve">Restriction: Mean income is unchanged</w:t>
      </w:r>
    </w:p>
    <w:p>
      <w:pPr>
        <w:pStyle w:val="Compact"/>
        <w:numPr>
          <w:ilvl w:val="0"/>
          <w:numId w:val="1030"/>
        </w:numPr>
      </w:pPr>
      <w:r>
        <w:t xml:space="preserve">Aggregate growth effects of education ⇒ contribution of education↑ for bottom 20% of the world</w:t>
      </w:r>
    </w:p>
    <w:bookmarkEnd w:id="47"/>
    <w:bookmarkStart w:id="48" w:name="X3a74f675f9d0d55eace6053f1e80d4e1a6b4612"/>
    <w:p>
      <w:pPr>
        <w:pStyle w:val="Heading2"/>
      </w:pPr>
      <w:r>
        <w:t xml:space="preserve">Sensitivity to alternative specifications</w:t>
      </w:r>
    </w:p>
    <w:p>
      <w:pPr>
        <w:pStyle w:val="Compact"/>
        <w:numPr>
          <w:ilvl w:val="0"/>
          <w:numId w:val="1037"/>
        </w:numPr>
      </w:pPr>
      <w:r>
        <w:t xml:space="preserve">IV-corrected returns to schooling</w:t>
      </w:r>
    </w:p>
    <w:p>
      <w:pPr>
        <w:pStyle w:val="Compact"/>
        <w:numPr>
          <w:ilvl w:val="0"/>
          <w:numId w:val="1037"/>
        </w:numPr>
      </w:pPr>
      <w:r>
        <w:t xml:space="preserve">EOS</w:t>
      </w:r>
    </w:p>
    <w:p>
      <w:pPr>
        <w:pStyle w:val="Compact"/>
        <w:numPr>
          <w:ilvl w:val="0"/>
          <w:numId w:val="1037"/>
        </w:numPr>
      </w:pPr>
      <w:r>
        <w:t xml:space="preserve">Alternative nesting of CES, no nesting, imperfect substitution between age groups (single EOS for skill groups, single EOS for age groups)</w:t>
      </w:r>
    </w:p>
    <w:p>
      <w:pPr>
        <w:pStyle w:val="Compact"/>
        <w:numPr>
          <w:ilvl w:val="0"/>
          <w:numId w:val="1037"/>
        </w:numPr>
      </w:pPr>
      <w:r>
        <w:t xml:space="preserve">Physical capital adjustments to educational expansion</w:t>
      </w:r>
    </w:p>
    <w:p>
      <w:pPr>
        <w:pStyle w:val="Compact"/>
        <w:numPr>
          <w:ilvl w:val="0"/>
          <w:numId w:val="1037"/>
        </w:numPr>
      </w:pPr>
      <w:r>
        <w:t xml:space="preserve">Educational attainment categories</w:t>
      </w:r>
    </w:p>
    <w:p>
      <w:pPr>
        <w:pStyle w:val="Compact"/>
        <w:numPr>
          <w:ilvl w:val="0"/>
          <w:numId w:val="1037"/>
        </w:numPr>
      </w:pPr>
      <w:r>
        <w:t xml:space="preserve">Heterogenous educational expansion by age, gender, region (India), race (South Africa, US)</w:t>
      </w:r>
    </w:p>
    <w:p>
      <w:pPr>
        <w:pStyle w:val="Compact"/>
        <w:numPr>
          <w:ilvl w:val="0"/>
          <w:numId w:val="1037"/>
        </w:numPr>
      </w:pPr>
      <w:r>
        <w:t xml:space="preserve">School attendance</w:t>
      </w:r>
    </w:p>
    <w:p>
      <w:pPr>
        <w:pStyle w:val="Compact"/>
        <w:numPr>
          <w:ilvl w:val="0"/>
          <w:numId w:val="1037"/>
        </w:numPr>
      </w:pPr>
      <w:r>
        <w:t xml:space="preserve">Education quality</w:t>
      </w:r>
    </w:p>
    <w:bookmarkEnd w:id="48"/>
    <w:bookmarkStart w:id="55" w:name="heterogeneity"/>
    <w:p>
      <w:pPr>
        <w:pStyle w:val="Heading2"/>
      </w:pPr>
      <w:r>
        <w:t xml:space="preserve">Heterogeneity</w:t>
      </w:r>
    </w:p>
    <w:p>
      <w:pPr>
        <w:pStyle w:val="FirstParagraph"/>
      </w:pPr>
      <w:r>
        <w:drawing>
          <wp:inline>
            <wp:extent cx="5334000" cy="459012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TabA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2854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TabA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8"/>
        </w:numPr>
      </w:pPr>
      <w:r>
        <w:t xml:space="preserve">Within and between countries (Tab A5)</w:t>
      </w:r>
    </w:p>
    <w:p>
      <w:pPr>
        <w:pStyle w:val="Compact"/>
        <w:numPr>
          <w:ilvl w:val="1"/>
          <w:numId w:val="1039"/>
        </w:numPr>
      </w:pPr>
      <w:r>
        <w:t xml:space="preserve">No change in global inequality</w:t>
      </w:r>
    </w:p>
    <w:p>
      <w:pPr>
        <w:pStyle w:val="Compact"/>
        <w:numPr>
          <w:ilvl w:val="1"/>
          <w:numId w:val="1039"/>
        </w:numPr>
      </w:pPr>
      <w:r>
        <w:t xml:space="preserve">Absent educational expansion, global inequality↑ by 20%</w:t>
      </w:r>
    </w:p>
    <w:p>
      <w:pPr>
        <w:pStyle w:val="Compact"/>
        <w:numPr>
          <w:ilvl w:val="1"/>
          <w:numId w:val="1039"/>
        </w:numPr>
      </w:pPr>
      <w:r>
        <w:t xml:space="preserve">Between country inequality↓, within country inequality↑</w:t>
      </w:r>
    </w:p>
    <w:p>
      <w:pPr>
        <w:pStyle w:val="Compact"/>
        <w:numPr>
          <w:ilvl w:val="0"/>
          <w:numId w:val="1038"/>
        </w:numPr>
      </w:pPr>
      <w:r>
        <w:t xml:space="preserve">By world region (Tab A6)</w:t>
      </w:r>
    </w:p>
    <w:p>
      <w:pPr>
        <w:pStyle w:val="Compact"/>
        <w:numPr>
          <w:ilvl w:val="1"/>
          <w:numId w:val="1040"/>
        </w:numPr>
      </w:pPr>
      <w:r>
        <w:t xml:space="preserve">Education explains 25% of income growth globally</w:t>
      </w:r>
    </w:p>
    <w:p>
      <w:pPr>
        <w:pStyle w:val="Compact"/>
        <w:numPr>
          <w:ilvl w:val="1"/>
          <w:numId w:val="1040"/>
        </w:numPr>
      </w:pPr>
      <w:r>
        <w:t xml:space="preserve">Mean: Latin America &gt; Sub-Saharan Africa &gt; Europe and North America &gt; MENA &gt; APAC &gt; China, India</w:t>
      </w:r>
    </w:p>
    <w:p>
      <w:pPr>
        <w:pStyle w:val="Compact"/>
        <w:numPr>
          <w:ilvl w:val="1"/>
          <w:numId w:val="1040"/>
        </w:numPr>
      </w:pPr>
      <w:r>
        <w:t xml:space="preserve">Bottom 50%: Latin America, Europe and North America &gt; Sub-Saharan Africa &gt; MENA &gt; APAC, China, India</w:t>
      </w:r>
    </w:p>
    <w:bookmarkEnd w:id="55"/>
    <w:bookmarkEnd w:id="56"/>
    <w:bookmarkStart w:id="66" w:name="skill-biased-technological-change"/>
    <w:p>
      <w:pPr>
        <w:pStyle w:val="Heading1"/>
      </w:pPr>
      <w:r>
        <w:t xml:space="preserve">Skill biased technological change</w:t>
      </w:r>
    </w:p>
    <w:p>
      <w:pPr>
        <w:pStyle w:val="FirstParagraph"/>
      </w:pPr>
      <w:r>
        <w:drawing>
          <wp:inline>
            <wp:extent cx="5334000" cy="244119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Tab7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5338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Tab8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3243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ab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Long-run EOS = larger, educational expansion is accounted for → adjust with EOS ⇒ smaller SBTC</w:t>
      </w:r>
    </w:p>
    <w:p>
      <w:pPr>
        <w:pStyle w:val="BodyText"/>
      </w:pPr>
      <w:r>
        <w:t xml:space="preserve">Short-run EOS = smaller, educational expansion is not accounted for → adjust with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⇒ larger SBTC</w:t>
      </w:r>
    </w:p>
    <w:p>
      <w:pPr>
        <w:pStyle w:val="BodyText"/>
      </w:pPr>
      <w:r>
        <w:t xml:space="preserve">SBTC</w:t>
      </w:r>
    </w:p>
    <w:p>
      <w:pPr>
        <w:pStyle w:val="Compact"/>
        <w:numPr>
          <w:ilvl w:val="0"/>
          <w:numId w:val="1041"/>
        </w:numPr>
      </w:pPr>
      <w:r>
        <w:t xml:space="preserve">Large: Tertiary, Europe/North America, APAC, MENA</w:t>
      </w:r>
    </w:p>
    <w:p>
      <w:pPr>
        <w:pStyle w:val="Compact"/>
        <w:numPr>
          <w:ilvl w:val="0"/>
          <w:numId w:val="1041"/>
        </w:numPr>
      </w:pPr>
      <w:r>
        <w:t xml:space="preserve">Negative: Primary, secondary China, seconday India, tertiry China</w:t>
      </w:r>
    </w:p>
    <w:p>
      <w:pPr>
        <w:pStyle w:val="FirstParagraph"/>
      </w:pPr>
      <w:r>
        <w:t xml:space="preserve">Education contribution</w:t>
      </w:r>
    </w:p>
    <w:p>
      <w:pPr>
        <w:pStyle w:val="Compact"/>
        <w:numPr>
          <w:ilvl w:val="0"/>
          <w:numId w:val="1042"/>
        </w:numPr>
      </w:pPr>
      <w:r>
        <w:t xml:space="preserve">SBTC increases education contribution (Tab 8)</w:t>
      </w:r>
    </w:p>
    <w:p>
      <w:pPr>
        <w:pStyle w:val="Compact"/>
        <w:numPr>
          <w:ilvl w:val="1"/>
          <w:numId w:val="1043"/>
        </w:numPr>
      </w:pPr>
      <w:r>
        <w:t xml:space="preserve">70% is educational expansion</w:t>
      </w:r>
    </w:p>
    <w:p>
      <w:pPr>
        <w:pStyle w:val="Compact"/>
        <w:numPr>
          <w:ilvl w:val="1"/>
          <w:numId w:val="1043"/>
        </w:numPr>
      </w:pPr>
      <w:r>
        <w:t xml:space="preserve">30% is SBTC</w:t>
      </w:r>
    </w:p>
    <w:p>
      <w:pPr>
        <w:pStyle w:val="Compact"/>
        <w:numPr>
          <w:ilvl w:val="0"/>
          <w:numId w:val="1042"/>
        </w:numPr>
      </w:pPr>
      <w:r>
        <w:t xml:space="preserve">Low income groups (Tab 9)</w:t>
      </w:r>
    </w:p>
    <w:p>
      <w:pPr>
        <w:pStyle w:val="Compact"/>
        <w:numPr>
          <w:ilvl w:val="1"/>
          <w:numId w:val="1044"/>
        </w:numPr>
      </w:pPr>
      <w:r>
        <w:t xml:space="preserve">Larger than high income groups</w:t>
      </w:r>
    </w:p>
    <w:p>
      <w:pPr>
        <w:pStyle w:val="Compact"/>
        <w:numPr>
          <w:ilvl w:val="1"/>
          <w:numId w:val="1044"/>
        </w:numPr>
      </w:pPr>
      <w:r>
        <w:t xml:space="preserve">Similar with/without SBTC</w:t>
      </w:r>
    </w:p>
    <w:p>
      <w:pPr>
        <w:pStyle w:val="Compact"/>
        <w:numPr>
          <w:ilvl w:val="2"/>
          <w:numId w:val="1045"/>
        </w:numPr>
      </w:pPr>
      <w:r>
        <w:t xml:space="preserve">Low or negative skilled labour demand in low income countries</w:t>
      </w:r>
    </w:p>
    <w:p>
      <w:pPr>
        <w:pStyle w:val="Compact"/>
        <w:numPr>
          <w:ilvl w:val="0"/>
          <w:numId w:val="1042"/>
        </w:numPr>
      </w:pPr>
      <w:r>
        <w:t xml:space="preserve">High income groups (Tab 9)</w:t>
      </w:r>
    </w:p>
    <w:p>
      <w:pPr>
        <w:pStyle w:val="Compact"/>
        <w:numPr>
          <w:ilvl w:val="1"/>
          <w:numId w:val="1046"/>
        </w:numPr>
      </w:pPr>
      <w:r>
        <w:t xml:space="preserve">Increases with SBTC</w:t>
      </w:r>
    </w:p>
    <w:p>
      <w:pPr>
        <w:pStyle w:val="Compact"/>
        <w:numPr>
          <w:ilvl w:val="2"/>
          <w:numId w:val="1047"/>
        </w:numPr>
      </w:pPr>
      <w:r>
        <w:t xml:space="preserve">Growing skilled labour demand in high income countries</w:t>
      </w:r>
    </w:p>
    <w:bookmarkEnd w:id="66"/>
    <w:bookmarkStart w:id="70" w:name="感想"/>
    <w:p>
      <w:pPr>
        <w:pStyle w:val="Heading1"/>
      </w:pPr>
      <w:r>
        <w:rPr>
          <w:rFonts w:hint="eastAsia"/>
        </w:rPr>
        <w:t xml:space="preserve">感想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Goldin-Katzに似た枠組みをマクロ成長会計に導入した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SBTCと就学収益率を同時決定することで、SBTCの影響を考慮できるようにしたのは素晴らしい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機械的な収益率計算、技術パラメタを固定したマクロ生産関数による要因分解ではない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収益率変化を許容することで、教育の貢献が過小評価されていることを示した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データ制約により推計できないため、人的資本は外生扱い</w:t>
      </w:r>
    </w:p>
    <w:p>
      <w:pPr>
        <w:pStyle w:val="Compact"/>
        <w:numPr>
          <w:ilvl w:val="0"/>
          <w:numId w:val="1048"/>
        </w:numPr>
      </w:pPr>
      <w:r>
        <w:t xml:space="preserve">skill </w:t>
      </w:r>
      <w:r>
        <w:rPr>
          <w:rFonts w:hint="eastAsia"/>
        </w:rPr>
        <w:t xml:space="preserve">biasパラメタを初年値に固定することで教育の独自効果independent</w:t>
      </w:r>
      <w:r>
        <w:t xml:space="preserve"> </w:t>
      </w:r>
      <w:r>
        <w:rPr>
          <w:rFonts w:hint="eastAsia"/>
        </w:rPr>
        <w:t xml:space="preserve">effects、後年値に固定することで合計効果total</w:t>
      </w:r>
      <w:r>
        <w:t xml:space="preserve"> </w:t>
      </w:r>
      <w:r>
        <w:rPr>
          <w:rFonts w:hint="eastAsia"/>
        </w:rPr>
        <w:t xml:space="preserve">effectsを計算するアイディアがよい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データ作業量は想像を絶する</w:t>
      </w:r>
      <w:r>
        <w:t xml:space="preserve"> </w:t>
      </w:r>
      <w:r>
        <w:rPr>
          <w:rFonts w:hint="eastAsia"/>
        </w:rPr>
        <w:t xml:space="preserve">(RA1人!)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余りに多岐にわたるデータ利用なので、全体を展望できるほど理解できていない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推計したらこうなっています、理由はこれだと思います、という論文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CESパラメタや収益率推計値を低中高所得国グループ毎に変えるとどうなるのか</w:t>
      </w:r>
    </w:p>
    <w:bookmarkStart w:id="69" w:name="refs"/>
    <w:bookmarkStart w:id="68" w:name="ref-HendricksSchoellman2023"/>
    <w:p>
      <w:pPr>
        <w:pStyle w:val="Bibliography"/>
      </w:pPr>
      <w:r>
        <w:t xml:space="preserve">Hendricks, Lutz, and Todd Schoellman. 2023.</w:t>
      </w:r>
      <w:r>
        <w:t xml:space="preserve"> </w:t>
      </w:r>
      <w:r>
        <w:t xml:space="preserve">“Skilled Labor Productivity and Cross-Country Income Differences.”</w:t>
      </w:r>
      <w:r>
        <w:t xml:space="preserve"> </w:t>
      </w:r>
      <w:r>
        <w:rPr>
          <w:i/>
          <w:iCs/>
        </w:rPr>
        <w:t xml:space="preserve">American Economic Journal: Macroeconomics</w:t>
      </w:r>
      <w:r>
        <w:t xml:space="preserve"> </w:t>
      </w:r>
      <w:r>
        <w:t xml:space="preserve">15 (1): 240–68.</w:t>
      </w:r>
      <w:r>
        <w:t xml:space="preserve"> </w:t>
      </w:r>
      <w:hyperlink r:id="rId67">
        <w:r>
          <w:rPr>
            <w:rStyle w:val="Hyperlink"/>
          </w:rPr>
          <w:t xml:space="preserve">https://doi.org/10.1257/mac.20200256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defined under optimally chosen skill bias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 So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reflects firm’s response to educational expansion.</w:t>
      </w:r>
      <w:r>
        <w:t xml:space="preserve"> 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</w:p>
    <w:p>
      <w:pPr>
        <w:pStyle w:val="FootnoteText"/>
      </w:pPr>
      <w:r>
        <w:t xml:space="preserve">Allowing firms to choose skill bias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under a skill constraint</w:t>
      </w:r>
    </w:p>
    <w:p>
      <w:pPr>
        <w:pStyle w:val="Footnote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κ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ω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κ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ω</m:t>
                      </m:r>
                    </m:sup>
                  </m:sSup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ω</m:t>
                  </m:r>
                </m:den>
              </m:f>
            </m:sup>
          </m:sSup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ootnoteText"/>
      </w:pPr>
      <w:r>
        <w:t xml:space="preserve"> </w:t>
      </w:r>
      <w:r>
        <w:t xml:space="preserve">yields a long-run CES labour aggregator form</w:t>
      </w:r>
      <w:r>
        <w:t xml:space="preserve"> </w:t>
      </w:r>
      <w:r>
        <w:t xml:space="preserve">(</w:t>
      </w:r>
      <w:hyperlink w:anchor="ref-HendricksSchoellman2023">
        <w:r>
          <w:rPr>
            <w:rStyle w:val="Hyperlink"/>
          </w:rPr>
          <w:t xml:space="preserve">Hendricks and Schoellman 2023</w:t>
        </w:r>
      </w:hyperlink>
      <w:r>
        <w:t xml:space="preserve">)</w:t>
      </w:r>
      <w:r>
        <w:t xml:space="preserve">:</w:t>
      </w:r>
      <w:r>
        <w:t xml:space="preserve"> 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36" Target="media/rId36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hyperlink" Id="rId20" Target="https://doi.org/10.1093/qje/qjaf033" TargetMode="External" /><Relationship Type="http://schemas.openxmlformats.org/officeDocument/2006/relationships/hyperlink" Id="rId67" Target="https://doi.org/10.1257/mac.202002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qje/qjaf033" TargetMode="External" /><Relationship Type="http://schemas.openxmlformats.org/officeDocument/2006/relationships/hyperlink" Id="rId67" Target="https://doi.org/10.1257/mac.202002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Distributional growth accounting Education and reduction of global poverty, 1980-2019 Quarterly Journal of Economics 2025 (Volume 133), November (No.11)</dc:title>
  <dc:creator>Amory Gethin</dc:creator>
  <cp:keywords/>
  <dcterms:created xsi:type="dcterms:W3CDTF">2025-11-20T05:10:45Z</dcterms:created>
  <dcterms:modified xsi:type="dcterms:W3CDTF">2025-11-20T05:10:45Z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ckgroundcolor">
    <vt:lpwstr>#fffcf2</vt:lpwstr>
  </property>
  <property fmtid="{D5CDD505-2E9C-101B-9397-08002B2CF9AE}" pid="4" name="biblio-config">
    <vt:lpwstr>True</vt:lpwstr>
  </property>
  <property fmtid="{D5CDD505-2E9C-101B-9397-08002B2CF9AE}" pid="5" name="bibliography">
    <vt:lpwstr>../seiro.bib</vt:lpwstr>
  </property>
  <property fmtid="{D5CDD505-2E9C-101B-9397-08002B2CF9AE}" pid="6" name="by-author">
    <vt:lpwstr/>
  </property>
  <property fmtid="{D5CDD505-2E9C-101B-9397-08002B2CF9AE}" pid="7" name="callout-appearance">
    <vt:lpwstr>simple</vt:lpwstr>
  </property>
  <property fmtid="{D5CDD505-2E9C-101B-9397-08002B2CF9AE}" pid="8" name="callout-icon">
    <vt:lpwstr>False</vt:lpwstr>
  </property>
  <property fmtid="{D5CDD505-2E9C-101B-9397-08002B2CF9AE}" pid="9" name="citation-location">
    <vt:lpwstr>margin</vt:lpwstr>
  </property>
  <property fmtid="{D5CDD505-2E9C-101B-9397-08002B2CF9AE}" pid="10" name="date">
    <vt:lpwstr>November 20, 2025, 14:11 +0900</vt:lpwstr>
  </property>
  <property fmtid="{D5CDD505-2E9C-101B-9397-08002B2CF9AE}" pid="11" name="date-format">
    <vt:lpwstr>MMMM DD, YYYY, HH:MM ZZ</vt:lpwstr>
  </property>
  <property fmtid="{D5CDD505-2E9C-101B-9397-08002B2CF9AE}" pid="12" name="doi-title">
    <vt:lpwstr>doi.org/10.1086/734780</vt:lpwstr>
  </property>
  <property fmtid="{D5CDD505-2E9C-101B-9397-08002B2CF9AE}" pid="13" name="execute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link-citations">
    <vt:lpwstr>True</vt:lpwstr>
  </property>
  <property fmtid="{D5CDD505-2E9C-101B-9397-08002B2CF9AE}" pid="20" name="theme">
    <vt:lpwstr>sky</vt:lpwstr>
  </property>
  <property fmtid="{D5CDD505-2E9C-101B-9397-08002B2CF9AE}" pid="21" name="title-block-banner">
    <vt:lpwstr>#f0f3f5</vt:lpwstr>
  </property>
  <property fmtid="{D5CDD505-2E9C-101B-9397-08002B2CF9AE}" pid="22" name="title-block-banner-color">
    <vt:lpwstr>black</vt:lpwstr>
  </property>
  <property fmtid="{D5CDD505-2E9C-101B-9397-08002B2CF9AE}" pid="23" name="toc-title">
    <vt:lpwstr>Table of contents</vt:lpwstr>
  </property>
</Properties>
</file>