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微软雅黑" w:hAnsi="Times New Roman"/>
          <w:b/>
          <w:bCs/>
          <w:color w:val="000000"/>
          <w:sz w:val="28"/>
          <w:szCs w:val="28"/>
        </w:rPr>
        <w:t xml:space="preserve">2025 年高教社杯全国大学生数学建模竞赛 A 题</w:t>
      </w:r>
    </w:p>
    <w:p>
      <w:pPr>
        <w:spacing w:after="70"/>
        <w:jc w:val="center"/>
      </w:pPr>
      <w:r>
        <w:rPr>
          <w:rFonts w:ascii="Times New Roman" w:eastAsia="微软雅黑" w:hAnsi="Times New Roman"/>
          <w:b/>
          <w:bCs/>
          <w:color w:val="000000"/>
          <w:sz w:val="25"/>
          <w:szCs w:val="25"/>
        </w:rPr>
        <w:t xml:space="preserve">“烟幕干扰弹的投放策略”——个人成果与高教社杯优秀论文（2025A）</w:t>
      </w:r>
    </w:p>
    <w:p>
      <w:pPr>
        <w:spacing w:after="170"/>
        <w:jc w:val="center"/>
      </w:pPr>
      <w:r>
        <w:rPr>
          <w:rFonts w:ascii="Times New Roman" w:eastAsia="微软雅黑" w:hAnsi="Times New Roman"/>
          <w:b/>
          <w:bCs/>
          <w:color w:val="000000"/>
          <w:sz w:val="27"/>
          <w:szCs w:val="27"/>
        </w:rPr>
        <w:t xml:space="preserve">对比分析</w:t>
      </w:r>
    </w:p>
    <w:p>
      <w:pPr>
        <w:spacing w:after="150"/>
        <w:jc w:val="center"/>
      </w:pPr>
      <w:r>
        <w:rPr>
          <w:rFonts w:ascii="Times New Roman" w:eastAsia="宋体" w:hAnsi="Times New Roman"/>
          <w:color w:val="6B7280"/>
          <w:sz w:val="19"/>
          <w:szCs w:val="19"/>
        </w:rPr>
        <w:t xml:space="preserve">参考论文：高教社杯优秀论文/2025A.pdf（扫描版，34 页）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一、总览：五问关键结论速览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900"/>
        <w:gridCol w:w="290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问题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优秀论文关键结论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个人成果关键结论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判断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Q1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1.391643 s；300 点圆周+二分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1.3916426683 s；连续圆周极值+Brent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六位小数一致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Q2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4.5873 s；5.1689°、136.3663 m/s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4.5428788269 s；176.643°、70 m/s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论文高 0.968%；本地漏搜分支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Q3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6.93586 s；第三枚弹未起作用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7.6190376709 s；三弹连续接力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本地高 9.850%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Q4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局部网格 11.125936 s；DE 11.645260 s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11.1417943151 s；表面复核 11.141804 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接近主方案，低于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Q5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21.0770 s；正文采用三导弹共同时间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22.0530828861 s；采用分导弹时长之和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目标不同，不可直接比较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总体上，两份成果在运动学、有限圆柱目标和“视线段与烟幕球相交”的核心物理定义上同源。问题 1 的数值完全交叉验证；问题 2 暴露出本地搜索域先验过强；问题 3 的差异主要来自优化质量；问题 4 的主方案数值接近，但优秀论文自己的局部网格与差分进化仍有 4.46% 差距；问题 5 则首先是目标函数口径不同，而不是算法优劣。</w:t>
      </w:r>
    </w:p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最重要的比较结论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不能把“与优秀论文不一样”一概解释成对方近似或本地更严格。Q2 的论文方案已通过本地严格连续圆周核心复算，确实更优；Q5 数值则因目标不同完全不可横比。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二、问题 1：给定策略的有效遮蔽时长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2.1 模型与算法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50"/>
        <w:gridCol w:w="3650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对比项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优秀论文（2025A）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个人成果（25A成果）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运动学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导弹、无人机、自由落体烟幕弹和下沉云团的位置函数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完全相同，g=9.8 m/s²，云团半径10 m、寿命20 s、下沉3 m/s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目标模型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真目标为半径7 m、高10 m圆柱，要求全部视线被遮挡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相同；不使用目标中心点代替整个圆柱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空间降维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证明只需检查上下底面圆周；每条圆周离散300点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同样利用凸性降到上下圆周，但角度作为连续变量做最坏点精修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时间求解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先证明本场景有效区间连通，再二分起止时刻</w:t>
            </w:r>
          </w:p>
        </w:tc>
        <w:tc>
          <w:tcPr>
            <w:tcW w:type="dxa" w:w="3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粗扫所有符号变化，不预设单区间；每个边界用Brent求根</w:t>
            </w:r>
          </w:p>
        </w:tc>
      </w:tr>
    </w:tbl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2.2 数值对比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600"/>
        <w:gridCol w:w="27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</w:t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差异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有效区间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正文报告总时长，未在表中给连续端点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[8.0564454904, 9.4480881587] s</w:t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有效时长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1.391643 s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1.3916426683 s</w:t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−3.317×10⁻⁷ 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圆周精度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n≥300 后六位小数稳定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网格播种+连续角度极值</w:t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结论一致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结论：问题 1 在六位小数上完全一致，是对运动学、重力参数、目标圆柱尺寸和完整遮蔽判据最有力的交叉验证。个人成果的改进主要是把论文的 300 点圆周离散提升为连续角度最坏点，并取消“有效区间必为一段”的程序先验。（优秀论文，第 15—16 页）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三、问题 2：单机单弹最优策略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3.1 搜索路线差异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550"/>
        <w:gridCol w:w="3550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对比项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变量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航向、速度、投放时刻、引爆延迟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相同四变量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全局探索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全可行域多起点随机采样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差分进化，但航向范围预设为150°—210°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局部精修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自适应变步长坐标搜索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离散快速目标搜索后严格连续圆周复算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交叉验证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PSO得到4.587772 s，相对差约0.01%</w:t>
            </w:r>
          </w:p>
        </w:tc>
        <w:tc>
          <w:tcPr>
            <w:tcW w:type="dxa" w:w="35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严格几何基准与单元测试；未做0°—360°双分支复搜</w:t>
            </w:r>
          </w:p>
        </w:tc>
      </w:tr>
    </w:tbl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3.2 参数与严格复算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2300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参数/指标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优秀论文方案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个人成果方案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比较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航向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5.1689°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176.643°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两个完全不同的物理解分支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速度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136.3663 m/s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70.0000 m/s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论文近上限，本地取下限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投放/引信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0.8977 / 0.0497 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0 / 2.49705 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论文几乎立即起爆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论文报告时长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4.5873 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本地严格核心复算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4.5872638407 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4.5428788269 s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论文方案仍高0.044385 s</w:t>
            </w:r>
          </w:p>
        </w:tc>
      </w:tr>
    </w:tbl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差异原因已经定位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优秀论文的约 5° 航向方案在本地严格连续圆周判据下仍得到 4.587264 s，因此不是判据宽松造成的虚高。本地 q2_strict_ring.py 把航向限制在 150°—210°，漏掉了迎着导弹向 +x 方向飞行、短延迟起爆的更优分支。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改进建议：把航向扩展到 0°—360°，分别保留“朝假目标”和“迎导弹”两个种群；将论文方案作为显式种子，再进行全域差分进化和连续圆周终算。最终论文中不应把现有 4.542879 s 写成全局最优。（优秀论文，第 17—20 页）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四、问题 3：FY1 三弹协同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4.1 建模一致性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两份成果都把 FY1 的航向与速度视作三枚弹共享变量，每枚弹分别设置投放时刻和起爆时刻/引信延迟，总计 8 个连续变量；都使用差分进化处理非光滑、不可解析求导的时间并集目标，并用惩罚函数处理投弹间隔和起爆可行性。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500"/>
        <w:gridCol w:w="3500"/>
      </w:tblGrid>
      <w:tr>
        <w:trPr>
          <w:cantSplit/>
          <w:tblHeader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项目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DE设置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种群100、500代、F=0.5、CR=0.9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多阶段候选+联合精修，固定随机种子并保存检查点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航向/速度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13.57377° / 116.81318 m/s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179.65° / 140 m/s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有效时长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6.93586 s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7.6190376709 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三弹利用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正文说明第三枚弹未发挥作用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三枚弹均有正贡献且首尾连续衔接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严格复核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300点圆周离散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连续圆周+16922点完整表面；差9.04×10⁻⁷ s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个人成果比优秀论文高 0.6831776709 s，相对提高 9.8499%。这一差异可以从时间结构解释：本地三枚弹依次覆盖 5.212410—9.056756、9.056756—11.638584、11.638584—12.831448 s，每枚都有独立增量；优秀论文则明确承认第三枚弹始终没有作用，并指出可能受初始位置和局部最优影响。</w:t>
      </w:r>
    </w:p>
    <w:p>
      <w:pPr>
        <w:pBdr>
          <w:left w:val="single" w:color="2E75B6" w:sz="20" w:space="8"/>
        </w:pBdr>
        <w:shd w:fill="EDF3F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0B2748"/>
          <w:sz w:val="20"/>
          <w:szCs w:val="20"/>
        </w:rPr>
        <w:t xml:space="preserve">评价边界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本地结果在当前严格判据下明显优于论文已报告方案，但这仍是数值候选，不等于证明全局最优。较稳妥的论文写法是“找到更优可行解并完成连续几何复核”。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五、问题 4：三机各一弹干扰 M1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5.1 优秀论文的物理降维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优秀论文先要求烟幕中心位于导弹—假目标视线附近，进一步构造“烟幕中心与导弹在预测时刻重合”的强约束，用竖直方程反解自由落体时间、用水平位移反解无人机速度，从而得到高质量初值；随后在航向、速度、投放和延迟邻域做局部网格。该思路把 12 维盲搜转为物理可解释的低维候选生成。（优秀论文，第 25—28 页）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5.2 数值与验证口径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700"/>
        <w:gridCol w:w="2100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结果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总时长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相对个人成果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优秀论文局部网格主方案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11.125936 s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个人成果高0.1425%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正文与result2对应方案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优秀论文DE验证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11.645260 s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个人成果低4.3234%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论文未在正文给出DE完整投放参数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个人成果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11.1417943151 s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基准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三段互不重叠；连续圆周终算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个人成果表面复核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11.1418036940 s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+9.38×10⁻⁶ s</w:t>
            </w:r>
          </w:p>
        </w:tc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16922点多烟幕max-min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个人成果与论文主方案几乎一致，说明“预测拦截点+错峰窗口”的结构可靠；但论文自己的差分进化验证值比主方案高约 4.46%，也比个人成果高 0.503466 s。由于 PDF 正文没有给出 DE 候选的完整参数，现阶段无法在本地严格核心下复算该 11.645260 s，因此不能武断断言它是判据差异、数值误差或更优可行解。</w:t>
      </w:r>
    </w:p>
    <w:p>
      <w:pPr>
        <w:pBdr>
          <w:left w:val="single" w:color="2E75B6" w:sz="20" w:space="8"/>
        </w:pBdr>
        <w:shd w:fill="EDF3F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0B2748"/>
          <w:sz w:val="20"/>
          <w:szCs w:val="20"/>
        </w:rPr>
        <w:t xml:space="preserve">建议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从优秀论文中吸收预测拦截点解析初值，同时把其 DE 结果对应的完整参数从支撑材料/result2.xlsx补齐后再做同口径复核。若拿不到参数，论文应同时列出11.125936、11.141794和11.645260三种口径，而不是只选最有利的一个。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六、问题 5：多机多弹多导弹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6.1 分层思想的相同点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两份成果都认为直接处理最多 45 个变量效率很低，因此先做任务分配，再按导弹拆成较小子问题。优秀论文用“无人机以 140 m/s 飞到导弹航迹参考点并立即起爆”的理论效能 c_ij 构造整数规划；个人成果建立 UAV—导弹严格单弹探针框架，并结合已知好种子与路线级精修。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3600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方面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分配依据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到参考拦截点的飞行时间与20s云团寿命构成理论效能矩阵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每对UAV—导弹按严格圆柱判据搜索可行时长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主要分派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M1←FY1；M2←FY2,FY4；M3←FY3,FY5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M1←FY1；M2←FY2,FY3,FY4；M3←FY5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求解结构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整数规划分配+三个子问题+改进遗传/问题3算法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探针、warm-start、同机路线精修、严格终算、表面复核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用弹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每机至多3枚，具体见论文result3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当前8枚策略弹；FY4一弹与FY3窗口完全重叠</w:t>
            </w:r>
          </w:p>
        </w:tc>
      </w:tr>
    </w:tbl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6.2 目标函数并不相同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400"/>
        <w:gridCol w:w="3400"/>
      </w:tblGrid>
      <w:tr>
        <w:trPr>
          <w:cantSplit/>
          <w:tblHeader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优秀论文正文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个人成果代码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时间集合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式(10.3)要求同一时刻M1、M2、M3均被遮蔽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分别得到 E_M1、E_M2、E_M3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汇总方式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正文说明对子问题的三个有效时间集合取交集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J=|E_M1|+|E_M2|+|E_M3|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报告值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21.0770 s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22.0530828861 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可比性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共同遮蔽时间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分导弹时长总和</w:t>
            </w:r>
          </w:p>
        </w:tc>
      </w:tr>
    </w:tbl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严禁直接比较大小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22.053083 s 不能直接宣称优于 21.0770 s。个人成果的 M1 区间在 12.831448 s 结束，而 M3 区间从 13.373007 s 才开始，因此当前方案的三导弹同时遮蔽交集为空；若按优秀论文正文定义计分，当前 Q5 方案得分为 0。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建议在最终论文中显式定义两种指标：A. 分导弹有效时长之和 J_sum，反映总体资源效能；B. 三导弹同时遮蔽共同时间 J_common，反映同步防护。题意若未明确，可同时给出两套结果并解释。若必须跟随优秀论文口径，则应重写 q5_strict_ring.py 的目标函数，使用时间集合交集或逐时刻“全部导弹均遮蔽”的布尔量重新分配 15 枚弹。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七、模型与算法的综合评价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7.1 个人成果的优势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单烟幕采用连续圆周最坏点，不停留在固定300点离散；时间边界用Brent根而非时间步长计数。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程序不强制有效时间只有一个连通区间，可处理多段区间、端点贴边和多烟幕并集。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Q3三弹全部产生边际贡献，时间接力结构比优秀论文当前候选完整。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Q3—Q5均有完整表面max-min复核、JSON检查点、Excel逐行验算和回归测试。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7.2 个人成果需要修正的地方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Q2航向搜索范围过窄，已经被优秀论文的可行方案反例证实；必须扩展到0°—360°。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Q4尚未复现优秀论文DE的11.645260 s，需要补齐参数或重新做更强全局搜索。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Q5采用求和目标，而优秀论文采用共同时间目标；必须在论文定稿前统一口径。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Q5的FY4烟幕完全落在FY3时间窗内，对时间并集无边际收益，说明资源分配仍可继续优化。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7.3 优秀论文值得借鉴之处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Q2采用全域多起点搜索并用PSO交叉验证，成功找到与直觉不同的迎弹短引信分支。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Q4用预测拦截点和运动学方程产生高质量初值，兼具解释性和计算效率。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Q5先构造理论效能矩阵再做整数分配，把组合选择与连续参数优化分开，结构清楚。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对问题1圆周离散点数做敏感性分析，明确给出n≥300后六位小数稳定。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八、建议的融合方案与修改优先级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0"/>
        <w:gridCol w:w="2500"/>
        <w:gridCol w:w="3000"/>
        <w:gridCol w:w="2450"/>
      </w:tblGrid>
      <w:tr>
        <w:trPr>
          <w:cantSplit/>
          <w:tblHeader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修改事项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原因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明确Q5目标：求和或三导弹共同时间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决定任务分配与最终结果是否有效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论文公式、代码目标和结果表口径一致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Q2航向扩为0°—360°并加入论文种子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当前结果已被严格反例超越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严格终算不低于4.587264 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补做Q4强全局搜索/复算论文DE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现有11.141794低于论文DE 11.645260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获得完整参数并用同一几何核心复算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Q5重新利用FY4或删去冗余弹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当前FY4窗口被FY3完全覆盖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每枚保留弹具有正边际贡献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对论文300点、本地连续角度和表面网格做统一收敛表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避免不同离散精度造成误判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时间步长/角度/表面加密后6位稳定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融合后的推荐求解路线是：用优秀论文的几何预测生成候选，用个人成果的连续圆周严格核心作统一评分；单弹采用全域多起点，Q3/Q4采用分块DE+联合精修，Q5先分别构造 J_sum 与 J_common 两套任务分配，再用相同的完整表面判据终算。这样既保留优秀论文的物理启发和搜索效率，也保留个人成果的几何严格性与工程可复现性。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000000"/>
        </w:rPr>
        <w:t xml:space="preserve">九、对比依据与说明</w:t>
      </w:r>
    </w:p>
    <w:tbl>
      <w:tblPr>
        <w:tblW w:type="dxa" w:w="9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100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材料</w:t>
            </w:r>
          </w:p>
        </w:tc>
        <w:tc>
          <w:tcPr>
            <w:tcW w:type="dxa" w:w="5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路径/内容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使用方式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个人成果</w:t>
            </w:r>
          </w:p>
        </w:tc>
        <w:tc>
          <w:tcPr>
            <w:tcW w:type="dxa" w:w="5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准备阶段/25A成果：第1第2问求解、第3问求解、第4问求解、第5问求解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代码、JSON、Excel及回归测试直接复算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优秀论文</w:t>
            </w:r>
          </w:p>
        </w:tc>
        <w:tc>
          <w:tcPr>
            <w:tcW w:type="dxa" w:w="5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C:/Users/LIUJINTIAN/Documents/大学作业文件/数学建模/Math_Devarajas/数学建模学习资料/高教社杯优秀论文/2025A.pdf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34页扫描PDF逐页OCR；关键数值再回看原页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参考版式</w:t>
            </w:r>
          </w:p>
        </w:tc>
        <w:tc>
          <w:tcPr>
            <w:tcW w:type="dxa" w:w="5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准备阶段/24A成果/策略方案.docx、对比文档.docx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沿用标题层级、表格和版面风格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说明：优秀论文为扫描件，正文公式和表格由OCR辅助读取，个别上下标或小数可能受图像质量影响；本文已尽量只采用摘要、正文明确报告的关键数值。凡涉及未给出完整参数的结果（尤其问题4的DE验证值），均明确标注为“尚待同口径复算”，不据此作确定性优劣判断。</w:t>
      </w:r>
    </w:p>
    <w:p>
      <w:pPr>
        <w:keepLines/>
        <w:spacing w:after="100" w:before="120" w:line="34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本文档用于学习、建模复盘与代码改进，不替代原优秀论文。数值以原PDF和本地程序实际输出为准。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50" w:footer="65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eastAsia="宋体" w:hAnsi="Times New Roman"/>
        <w:color w:val="6B7280"/>
        <w:sz w:val="17"/>
        <w:szCs w:val="17"/>
      </w:rPr>
      <w:t xml:space="preserve">第 </w:t>
    </w:r>
    <w:r>
      <w:rPr>
        <w:rFonts w:ascii="Times New Roman" w:eastAsia="宋体" w:hAnsi="Times New Roman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8" w:space="3"/>
      </w:pBdr>
      <w:spacing w:after="0"/>
    </w:pPr>
    <w:r>
      <w:rPr>
        <w:rFonts w:ascii="Times New Roman" w:eastAsia="微软雅黑" w:hAnsi="Times New Roman"/>
        <w:color w:val="6B7280"/>
        <w:sz w:val="17"/>
        <w:szCs w:val="17"/>
      </w:rPr>
      <w:t xml:space="preserve">2025 A 题个人成果与高教社杯优秀论文对比分析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○"/>
      <w:lvlJc w:val="left"/>
      <w:pPr>
        <w:ind w:left="10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1F2937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260"/>
      <w:outlineLvl w:val="0"/>
    </w:pPr>
    <w:rPr>
      <w:rFonts w:ascii="Times New Roman" w:eastAsia="微软雅黑" w:hAnsi="Times New Roman"/>
      <w:b/>
      <w:bCs/>
      <w:color w:val="000000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10" w:before="190"/>
      <w:outlineLvl w:val="1"/>
    </w:pPr>
    <w:rPr>
      <w:rFonts w:ascii="Times New Roman" w:eastAsia="微软雅黑" w:hAnsi="Times New Roman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50"/>
      <w:outlineLvl w:val="2"/>
    </w:pPr>
    <w:rPr>
      <w:rFonts w:ascii="Times New Roman" w:eastAsia="微软雅黑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2025A 个人成果与优秀论文对比分析</dc:title>
  <dc:creator>Codex</dc:creator>
  <dc:description>逐问比较模型、算法、结果与改进方向</dc:description>
  <cp:lastModifiedBy>Un-named</cp:lastModifiedBy>
  <cp:revision>1</cp:revision>
  <dcterms:created xsi:type="dcterms:W3CDTF">2026-08-22T18:41:10.800Z</dcterms:created>
  <dcterms:modified xsi:type="dcterms:W3CDTF">2026-08-22T18:41:10.800Z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