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500"/>
        <w:jc w:val="center"/>
      </w:pPr>
      <w:r>
        <w:rPr>
          <w:rFonts w:ascii="Times New Roman" w:eastAsia="微软雅黑" w:hAnsi="Times New Roman"/>
          <w:b/>
          <w:bCs/>
          <w:color w:val="B08400"/>
          <w:sz w:val="26"/>
          <w:szCs w:val="26"/>
        </w:rPr>
        <w:t xml:space="preserve">独立建模技术方案</w:t>
      </w:r>
    </w:p>
    <w:p>
      <w:pPr>
        <w:spacing w:after="300"/>
        <w:jc w:val="center"/>
      </w:pPr>
      <w:r>
        <w:rPr>
          <w:rFonts w:ascii="Times New Roman" w:eastAsia="微软雅黑" w:hAnsi="Times New Roman"/>
          <w:b/>
          <w:bCs/>
          <w:color w:val="0B2748"/>
          <w:sz w:val="48"/>
          <w:szCs w:val="48"/>
        </w:rPr>
        <w:t xml:space="preserve">A 题“烟幕干扰弹的投放策略”</w:t>
      </w:r>
    </w:p>
    <w:p>
      <w:pPr>
        <w:spacing w:after="160"/>
        <w:jc w:val="center"/>
      </w:pPr>
      <w:r>
        <w:rPr>
          <w:rFonts w:ascii="Times New Roman" w:eastAsia="微软雅黑" w:hAnsi="Times New Roman"/>
          <w:color w:val="245B8F"/>
          <w:sz w:val="27"/>
          <w:szCs w:val="27"/>
        </w:rPr>
        <w:t xml:space="preserve">问题 1 至问题 5：统一几何、分层优化与严格复核路线</w:t>
      </w:r>
    </w:p>
    <w:p>
      <w:pPr>
        <w:spacing w:after="900"/>
        <w:jc w:val="center"/>
      </w:pPr>
      <w:r>
        <w:rPr>
          <w:rFonts w:ascii="Times New Roman" w:eastAsia="楷体" w:hAnsi="Times New Roman"/>
          <w:i/>
          <w:iCs/>
          <w:color w:val="6B7280"/>
          <w:sz w:val="21"/>
          <w:szCs w:val="21"/>
        </w:rPr>
        <w:t xml:space="preserve">从运动学到连续圆周判定、多烟幕协同与多目标调度</w:t>
      </w:r>
    </w:p>
    <w:p>
      <w:pPr>
        <w:spacing w:after="180"/>
        <w:jc w:val="center"/>
      </w:pPr>
      <w:r>
        <w:rPr>
          <w:rFonts w:ascii="Times New Roman" w:eastAsia="微软雅黑" w:hAnsi="Times New Roman"/>
          <w:b/>
          <w:bCs/>
          <w:color w:val="0B2748"/>
          <w:sz w:val="21"/>
          <w:szCs w:val="21"/>
        </w:rPr>
        <w:t xml:space="preserve">编制日期：2026 年 8 月 23 日</w:t>
      </w:r>
    </w:p>
    <w:p>
      <w:pPr>
        <w:jc w:val="center"/>
      </w:pPr>
      <w:r>
        <w:rPr>
          <w:rFonts w:ascii="Times New Roman" w:eastAsia="宋体" w:hAnsi="Times New Roman"/>
          <w:color w:val="6B7280"/>
          <w:sz w:val="19"/>
          <w:szCs w:val="19"/>
        </w:rPr>
        <w:t xml:space="preserve">用途：模型设计、程序复现、论文写作与结果复核</w:t>
      </w:r>
    </w:p>
    <w:p>
      <w:pPr>
        <w:sectPr>
          <w:pgSz w:w="11906" w:h="16838" w:orient="portrait"/>
          <w:pgMar w:top="1134" w:right="1134" w:bottom="1134" w:left="1134" w:header="650" w:footer="650" w:gutter="0"/>
          <w:pgNumType/>
          <w:vAlign w:val="center"/>
          <w:docGrid w:linePitch="360"/>
        </w:sectPr>
      </w:pPr>
    </w:p>
    <w:p>
      <w:pPr>
        <w:pStyle w:val="Heading1"/>
        <w:keepNext/>
      </w:pPr>
      <w:r>
        <w:rPr>
          <w:rFonts w:ascii="Times New Roman" w:eastAsia="微软雅黑" w:hAnsi="Times New Roman"/>
          <w:b/>
          <w:bCs/>
          <w:color w:val="2E75B6"/>
        </w:rPr>
        <w:t xml:space="preserve">题目说明与总体路线</w:t>
      </w:r>
    </w:p>
    <w:p>
      <w:pPr>
        <w:keepLines/>
        <w:spacing w:after="100" w:before="0" w:line="340"/>
        <w:ind w:firstLine="420"/>
        <w:jc w:val="both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color w:val="1F2937"/>
          <w:sz w:val="21"/>
          <w:szCs w:val="21"/>
        </w:rPr>
        <w:t xml:space="preserve">本题的核心不是简单计算导弹与烟幕中心的距离，而是判断导弹观察真目标时，通向有限圆柱体全部可见点的视线是否均被烟幕球截断。五个问题按“固定策略复算—单弹优化—同机多弹—多机单弹—多机多弹多导弹”逐层增加自由度。程序实现应先固定统一运动学和严格几何核心，再在外层替换优化变量与任务分配。</w:t>
      </w:r>
    </w:p>
    <w:p>
      <w:pPr>
        <w:pBdr>
          <w:left w:val="single" w:color="2E75B6" w:sz="20" w:space="8"/>
        </w:pBdr>
        <w:shd w:fill="EDF3F8" w:val="clear"/>
        <w:spacing w:after="130" w:before="100" w:line="320"/>
        <w:ind w:left="160" w:right="100"/>
      </w:pPr>
      <w:r>
        <w:rPr>
          <w:rFonts w:ascii="Times New Roman" w:eastAsia="微软雅黑" w:hAnsi="Times New Roman"/>
          <w:b/>
          <w:bCs/>
          <w:color w:val="0B2748"/>
          <w:sz w:val="20"/>
          <w:szCs w:val="20"/>
        </w:rPr>
        <w:t xml:space="preserve">最重要的建模判断  </w:t>
      </w:r>
      <w:r>
        <w:rPr>
          <w:rFonts w:ascii="Times New Roman" w:eastAsia="宋体" w:hAnsi="Times New Roman"/>
          <w:color w:val="1F2937"/>
          <w:sz w:val="20"/>
          <w:szCs w:val="20"/>
        </w:rPr>
        <w:t xml:space="preserve">真目标是半径 7 m、高 10 m 的有限圆柱，而不是中心点。单个烟幕球的完整遮蔽可严格降维为上下两个连续圆周的最坏距离；多烟幕联合遮蔽不能直接沿用这一凸性结论，最终必须对完整表面做 max-min 复核。</w:t>
      </w:r>
    </w:p>
    <w:p>
      <w:pPr>
        <w:spacing w:after="120" w:before="60"/>
        <w:jc w:val="center"/>
      </w:pPr>
      <w:r>
        <w:rPr>
          <w:rFonts w:ascii="Times New Roman" w:eastAsia="楷体" w:hAnsi="Times New Roman"/>
          <w:i/>
          <w:iCs/>
          <w:color w:val="6B7280"/>
          <w:sz w:val="18"/>
          <w:szCs w:val="18"/>
        </w:rPr>
        <w:t xml:space="preserve">表 1  五个问题的递进结构</w:t>
      </w:r>
    </w:p>
    <w:tbl>
      <w:tblPr>
        <w:tblW w:type="dxa" w:w="875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0"/>
        <w:gridCol w:w="2450"/>
        <w:gridCol w:w="3000"/>
        <w:gridCol w:w="2400"/>
      </w:tblGrid>
      <w:tr>
        <w:trPr>
          <w:cantSplit/>
          <w:tblHeader/>
        </w:trPr>
        <w:tc>
          <w:tcPr>
            <w:tcW w:type="dxa" w:w="90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微软雅黑" w:hAnsi="Times New Roman"/>
                <w:b/>
                <w:bCs/>
                <w:color w:val="1F2937"/>
                <w:sz w:val="18"/>
                <w:szCs w:val="18"/>
              </w:rPr>
              <w:t xml:space="preserve">问题</w:t>
            </w:r>
          </w:p>
        </w:tc>
        <w:tc>
          <w:tcPr>
            <w:tcW w:type="dxa" w:w="245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微软雅黑" w:hAnsi="Times New Roman"/>
                <w:b/>
                <w:bCs/>
                <w:color w:val="1F2937"/>
                <w:sz w:val="18"/>
                <w:szCs w:val="18"/>
              </w:rPr>
              <w:t xml:space="preserve">新增自由度</w:t>
            </w:r>
          </w:p>
        </w:tc>
        <w:tc>
          <w:tcPr>
            <w:tcW w:type="dxa" w:w="300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微软雅黑" w:hAnsi="Times New Roman"/>
                <w:b/>
                <w:bCs/>
                <w:color w:val="1F2937"/>
                <w:sz w:val="18"/>
                <w:szCs w:val="18"/>
              </w:rPr>
              <w:t xml:space="preserve">关键约束</w:t>
            </w:r>
          </w:p>
        </w:tc>
        <w:tc>
          <w:tcPr>
            <w:tcW w:type="dxa" w:w="240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微软雅黑" w:hAnsi="Times New Roman"/>
                <w:b/>
                <w:bCs/>
                <w:color w:val="1F2937"/>
                <w:sz w:val="18"/>
                <w:szCs w:val="18"/>
              </w:rPr>
              <w:t xml:space="preserve">最终指标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color w:val="1F2937"/>
                <w:sz w:val="17"/>
                <w:szCs w:val="17"/>
              </w:rPr>
              <w:t xml:space="preserve">问题 1</w:t>
            </w:r>
          </w:p>
        </w:tc>
        <w:tc>
          <w:tcPr>
            <w:tcW w:type="dxa" w:w="245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color w:val="1F2937"/>
                <w:sz w:val="17"/>
                <w:szCs w:val="17"/>
              </w:rPr>
              <w:t xml:space="preserve">参数全部给定</w:t>
            </w:r>
          </w:p>
        </w:tc>
        <w:tc>
          <w:tcPr>
            <w:tcW w:type="dxa" w:w="300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color w:val="1F2937"/>
                <w:sz w:val="17"/>
                <w:szCs w:val="17"/>
              </w:rPr>
              <w:t xml:space="preserve">20 s 云团寿命、严格圆柱遮蔽</w:t>
            </w:r>
          </w:p>
        </w:tc>
        <w:tc>
          <w:tcPr>
            <w:tcW w:type="dxa" w:w="240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color w:val="1F2937"/>
                <w:sz w:val="17"/>
                <w:szCs w:val="17"/>
              </w:rPr>
              <w:t xml:space="preserve">单弹有效时长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F7F9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color w:val="1F2937"/>
                <w:sz w:val="17"/>
                <w:szCs w:val="17"/>
              </w:rPr>
              <w:t xml:space="preserve">问题 2</w:t>
            </w:r>
          </w:p>
        </w:tc>
        <w:tc>
          <w:tcPr>
            <w:tcW w:type="dxa" w:w="245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F7F9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color w:val="1F2937"/>
                <w:sz w:val="17"/>
                <w:szCs w:val="17"/>
              </w:rPr>
              <w:t xml:space="preserve">航向、速度、投放与引信</w:t>
            </w:r>
          </w:p>
        </w:tc>
        <w:tc>
          <w:tcPr>
            <w:tcW w:type="dxa" w:w="300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F7F9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color w:val="1F2937"/>
                <w:sz w:val="17"/>
                <w:szCs w:val="17"/>
              </w:rPr>
              <w:t xml:space="preserve">速度 70—140 m/s、地面以上起爆</w:t>
            </w:r>
          </w:p>
        </w:tc>
        <w:tc>
          <w:tcPr>
            <w:tcW w:type="dxa" w:w="240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F7F9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color w:val="1F2937"/>
                <w:sz w:val="17"/>
                <w:szCs w:val="17"/>
              </w:rPr>
              <w:t xml:space="preserve">单机单弹最大时长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color w:val="1F2937"/>
                <w:sz w:val="17"/>
                <w:szCs w:val="17"/>
              </w:rPr>
              <w:t xml:space="preserve">问题 3</w:t>
            </w:r>
          </w:p>
        </w:tc>
        <w:tc>
          <w:tcPr>
            <w:tcW w:type="dxa" w:w="245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color w:val="1F2937"/>
                <w:sz w:val="17"/>
                <w:szCs w:val="17"/>
              </w:rPr>
              <w:t xml:space="preserve">同机三枚弹时序</w:t>
            </w:r>
          </w:p>
        </w:tc>
        <w:tc>
          <w:tcPr>
            <w:tcW w:type="dxa" w:w="300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color w:val="1F2937"/>
                <w:sz w:val="17"/>
                <w:szCs w:val="17"/>
              </w:rPr>
              <w:t xml:space="preserve">共享航向与速度、投弹间隔≥1 s</w:t>
            </w:r>
          </w:p>
        </w:tc>
        <w:tc>
          <w:tcPr>
            <w:tcW w:type="dxa" w:w="240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color w:val="1F2937"/>
                <w:sz w:val="17"/>
                <w:szCs w:val="17"/>
              </w:rPr>
              <w:t xml:space="preserve">三弹时间并集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F7F9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color w:val="1F2937"/>
                <w:sz w:val="17"/>
                <w:szCs w:val="17"/>
              </w:rPr>
              <w:t xml:space="preserve">问题 4</w:t>
            </w:r>
          </w:p>
        </w:tc>
        <w:tc>
          <w:tcPr>
            <w:tcW w:type="dxa" w:w="245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F7F9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color w:val="1F2937"/>
                <w:sz w:val="17"/>
                <w:szCs w:val="17"/>
              </w:rPr>
              <w:t xml:space="preserve">三架无人机独立航线</w:t>
            </w:r>
          </w:p>
        </w:tc>
        <w:tc>
          <w:tcPr>
            <w:tcW w:type="dxa" w:w="300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F7F9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color w:val="1F2937"/>
                <w:sz w:val="17"/>
                <w:szCs w:val="17"/>
              </w:rPr>
              <w:t xml:space="preserve">FY1、FY2、FY3 各投一枚</w:t>
            </w:r>
          </w:p>
        </w:tc>
        <w:tc>
          <w:tcPr>
            <w:tcW w:type="dxa" w:w="240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F7F9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color w:val="1F2937"/>
                <w:sz w:val="17"/>
                <w:szCs w:val="17"/>
              </w:rPr>
              <w:t xml:space="preserve">三弹时间并集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color w:val="1F2937"/>
                <w:sz w:val="17"/>
                <w:szCs w:val="17"/>
              </w:rPr>
              <w:t xml:space="preserve">问题 5</w:t>
            </w:r>
          </w:p>
        </w:tc>
        <w:tc>
          <w:tcPr>
            <w:tcW w:type="dxa" w:w="245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color w:val="1F2937"/>
                <w:sz w:val="17"/>
                <w:szCs w:val="17"/>
              </w:rPr>
              <w:t xml:space="preserve">任务分配、弹数与三导弹</w:t>
            </w:r>
          </w:p>
        </w:tc>
        <w:tc>
          <w:tcPr>
            <w:tcW w:type="dxa" w:w="300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color w:val="1F2937"/>
                <w:sz w:val="17"/>
                <w:szCs w:val="17"/>
              </w:rPr>
              <w:t xml:space="preserve">每机至多三弹、同机共享航线</w:t>
            </w:r>
          </w:p>
        </w:tc>
        <w:tc>
          <w:tcPr>
            <w:tcW w:type="dxa" w:w="240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color w:val="1F2937"/>
                <w:sz w:val="17"/>
                <w:szCs w:val="17"/>
              </w:rPr>
              <w:t xml:space="preserve">三枚导弹指标汇总</w:t>
            </w:r>
          </w:p>
        </w:tc>
      </w:tr>
    </w:tbl>
    <w:p>
      <w:pPr>
        <w:pStyle w:val="Heading1"/>
        <w:keepNext/>
      </w:pPr>
      <w:r>
        <w:rPr>
          <w:rFonts w:ascii="Times New Roman" w:eastAsia="微软雅黑" w:hAnsi="Times New Roman"/>
          <w:b/>
          <w:bCs/>
          <w:color w:val="2E75B6"/>
        </w:rPr>
        <w:t xml:space="preserve">统一模型与严格判据</w:t>
      </w:r>
    </w:p>
    <w:p>
      <w:pPr>
        <w:pStyle w:val="Heading2"/>
        <w:keepNext/>
      </w:pPr>
      <w:r>
        <w:rPr>
          <w:rFonts w:ascii="Times New Roman" w:eastAsia="微软雅黑" w:hAnsi="Times New Roman"/>
          <w:b/>
          <w:bCs/>
          <w:color w:val="2E75B6"/>
        </w:rPr>
        <w:t xml:space="preserve">1. 运动学模块</w:t>
      </w:r>
    </w:p>
    <w:p>
      <w:pPr>
        <w:keepLines/>
        <w:spacing w:after="100" w:before="0" w:line="340"/>
        <w:ind w:firstLine="420"/>
        <w:jc w:val="both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color w:val="1F2937"/>
          <w:sz w:val="21"/>
          <w:szCs w:val="21"/>
        </w:rPr>
        <w:t xml:space="preserve">导弹 Mi 以 300 m/s 沿初始位置指向假目标原点作匀速直线运动；无人机接令后以航向角 ψ 和速度 v 等高度直线飞行。第 k 枚弹在 td,k 投放，继承无人机水平速度并作自由落体，在延迟 τk 后起爆。起爆后云团水平坐标固定，球心仅以 3 m/s 匀速下沉，半径恒为 10 m，有效期为 20 s。</w:t>
      </w:r>
    </w:p>
    <w:p>
      <w:pPr>
        <w:shd w:fill="F6F8FA" w:val="clear"/>
        <w:spacing w:after="100" w:before="80"/>
        <w:jc w:val="center"/>
      </w:pPr>
      <w:r>
        <w:rPr>
          <w:rFonts w:ascii="Times New Roman" w:eastAsia="宋体" w:hAnsi="Times New Roman"/>
          <w:i/>
          <w:iCs/>
          <w:color w:val="0B2748"/>
          <w:sz w:val="20"/>
          <w:szCs w:val="20"/>
        </w:rPr>
        <w:t xml:space="preserve">M_i(t)=M_i(0)−300·M_i(0)/||M_i(0)||·t</w:t>
      </w:r>
    </w:p>
    <w:p>
      <w:pPr>
        <w:shd w:fill="F6F8FA" w:val="clear"/>
        <w:spacing w:after="100" w:before="80"/>
        <w:jc w:val="center"/>
      </w:pPr>
      <w:r>
        <w:rPr>
          <w:rFonts w:ascii="Times New Roman" w:eastAsia="宋体" w:hAnsi="Times New Roman"/>
          <w:i/>
          <w:iCs/>
          <w:color w:val="0B2748"/>
          <w:sz w:val="20"/>
          <w:szCs w:val="20"/>
        </w:rPr>
        <w:t xml:space="preserve">P_drop=U(0)+v·td·(cosψ,sinψ,0)</w:t>
      </w:r>
    </w:p>
    <w:p>
      <w:pPr>
        <w:shd w:fill="F6F8FA" w:val="clear"/>
        <w:spacing w:after="100" w:before="80"/>
        <w:jc w:val="center"/>
      </w:pPr>
      <w:r>
        <w:rPr>
          <w:rFonts w:ascii="Times New Roman" w:eastAsia="宋体" w:hAnsi="Times New Roman"/>
          <w:i/>
          <w:iCs/>
          <w:color w:val="0B2748"/>
          <w:sz w:val="20"/>
          <w:szCs w:val="20"/>
        </w:rPr>
        <w:t xml:space="preserve">P_exp=U(0)+v·(td+τ)·(cosψ,sinψ,0)+(0,0,−gτ²/2)</w:t>
      </w:r>
    </w:p>
    <w:p>
      <w:pPr>
        <w:shd w:fill="F6F8FA" w:val="clear"/>
        <w:spacing w:after="100" w:before="80"/>
        <w:jc w:val="center"/>
      </w:pPr>
      <w:r>
        <w:rPr>
          <w:rFonts w:ascii="Times New Roman" w:eastAsia="宋体" w:hAnsi="Times New Roman"/>
          <w:i/>
          <w:iCs/>
          <w:color w:val="0B2748"/>
          <w:sz w:val="20"/>
          <w:szCs w:val="20"/>
        </w:rPr>
        <w:t xml:space="preserve">C(t)=P_exp+(0,0,−3(t−te)),  te=td+τ</w:t>
      </w:r>
    </w:p>
    <w:p>
      <w:pPr>
        <w:pStyle w:val="Heading2"/>
        <w:keepNext/>
      </w:pPr>
      <w:r>
        <w:rPr>
          <w:rFonts w:ascii="Times New Roman" w:eastAsia="微软雅黑" w:hAnsi="Times New Roman"/>
          <w:b/>
          <w:bCs/>
          <w:color w:val="2E75B6"/>
        </w:rPr>
        <w:t xml:space="preserve">2. 单烟幕严格完整遮蔽</w:t>
      </w:r>
    </w:p>
    <w:p>
      <w:pPr>
        <w:keepLines/>
        <w:spacing w:after="100" w:before="0" w:line="340"/>
        <w:ind w:firstLine="420"/>
        <w:jc w:val="both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color w:val="1F2937"/>
          <w:sz w:val="21"/>
          <w:szCs w:val="21"/>
        </w:rPr>
        <w:t xml:space="preserve">设导弹位置为 M(t)，圆柱目标点为 X，烟幕球心为 C(t)。先把 C 投影到视线线段 M—X 上，投影参数 λ 截断在 [0,1]；若目标所有点对应的线段距离均不超过 10 m，则该时刻完整遮蔽。由于单烟幕的可遮蔽集合为凸集，验证整个圆柱只需验证上下底面圆周。程序先用角度网格寻找候选最坏点，再对连续角度做有界极值精修。</w:t>
      </w:r>
    </w:p>
    <w:p>
      <w:pPr>
        <w:shd w:fill="F6F8FA" w:val="clear"/>
        <w:spacing w:after="100" w:before="80"/>
        <w:jc w:val="center"/>
      </w:pPr>
      <w:r>
        <w:rPr>
          <w:rFonts w:ascii="Times New Roman" w:eastAsia="宋体" w:hAnsi="Times New Roman"/>
          <w:i/>
          <w:iCs/>
          <w:color w:val="0B2748"/>
          <w:sz w:val="20"/>
          <w:szCs w:val="20"/>
        </w:rPr>
        <w:t xml:space="preserve">D(t)=max_{h∈{0,10}, φ∈[0,2π)} dist(C(t), segment[M(t),X(h,φ)])</w:t>
      </w:r>
    </w:p>
    <w:p>
      <w:pPr>
        <w:shd w:fill="F6F8FA" w:val="clear"/>
        <w:spacing w:after="100" w:before="80"/>
        <w:jc w:val="center"/>
      </w:pPr>
      <w:r>
        <w:rPr>
          <w:rFonts w:ascii="Times New Roman" w:eastAsia="宋体" w:hAnsi="Times New Roman"/>
          <w:i/>
          <w:iCs/>
          <w:color w:val="0B2748"/>
          <w:sz w:val="20"/>
          <w:szCs w:val="20"/>
        </w:rPr>
        <w:t xml:space="preserve">完整遮蔽 ⇔ D(t)≤10</w:t>
      </w:r>
    </w:p>
    <w:p>
      <w:pPr>
        <w:keepLines/>
        <w:spacing w:after="100" w:before="0" w:line="340"/>
        <w:ind w:firstLine="420"/>
        <w:jc w:val="both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color w:val="1F2937"/>
          <w:sz w:val="21"/>
          <w:szCs w:val="21"/>
        </w:rPr>
        <w:t xml:space="preserve">时间边界由粗扫定位后用 Brent 法解 D(t)−10=0。程序不预设有效区间只有一段，而是扫描全部符号变化、逐段判别并合并区间，因此能覆盖多段或贴边情形。</w:t>
      </w:r>
    </w:p>
    <w:p>
      <w:pPr>
        <w:pStyle w:val="Heading2"/>
        <w:keepNext/>
      </w:pPr>
      <w:r>
        <w:rPr>
          <w:rFonts w:ascii="Times New Roman" w:eastAsia="微软雅黑" w:hAnsi="Times New Roman"/>
          <w:b/>
          <w:bCs/>
          <w:color w:val="2E75B6"/>
        </w:rPr>
        <w:t xml:space="preserve">3. 多烟幕联合复核</w:t>
      </w:r>
    </w:p>
    <w:p>
      <w:pPr>
        <w:keepLines/>
        <w:spacing w:after="100" w:before="0" w:line="340"/>
        <w:ind w:firstLine="420"/>
        <w:jc w:val="both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color w:val="1F2937"/>
          <w:sz w:val="21"/>
          <w:szCs w:val="21"/>
        </w:rPr>
        <w:t xml:space="preserve">优化阶段以“每枚烟幕独立完整遮蔽区间的时间并集”作为快速目标。最终候选再对圆柱侧面与上下底面密集采样，对每个目标点先取所有活动烟幕中的最小视线距离，再对目标表面取最大值。该 max-min 判据允许不同烟幕分别遮挡圆柱不同区域。</w:t>
      </w:r>
    </w:p>
    <w:p>
      <w:pPr>
        <w:shd w:fill="F6F8FA" w:val="clear"/>
        <w:spacing w:after="100" w:before="80"/>
        <w:jc w:val="center"/>
      </w:pPr>
      <w:r>
        <w:rPr>
          <w:rFonts w:ascii="Times New Roman" w:eastAsia="宋体" w:hAnsi="Times New Roman"/>
          <w:i/>
          <w:iCs/>
          <w:color w:val="0B2748"/>
          <w:sz w:val="20"/>
          <w:szCs w:val="20"/>
        </w:rPr>
        <w:t xml:space="preserve">G(t)=max_{X∈surface} min_k dist(C_k(t), segment[M(t),X])−10</w:t>
      </w:r>
    </w:p>
    <w:p>
      <w:r>
        <w:br w:type="page"/>
      </w:r>
    </w:p>
    <w:p>
      <w:pPr>
        <w:pStyle w:val="Heading1"/>
        <w:keepNext/>
      </w:pPr>
      <w:r>
        <w:rPr>
          <w:rFonts w:ascii="Times New Roman" w:eastAsia="微软雅黑" w:hAnsi="Times New Roman"/>
          <w:b/>
          <w:bCs/>
          <w:color w:val="2E75B6"/>
        </w:rPr>
        <w:t xml:space="preserve">问题 1 与问题 2：严格基准和单弹优化</w:t>
      </w:r>
    </w:p>
    <w:p>
      <w:pPr>
        <w:pStyle w:val="Heading2"/>
        <w:keepNext/>
      </w:pPr>
      <w:r>
        <w:rPr>
          <w:rFonts w:ascii="Times New Roman" w:eastAsia="微软雅黑" w:hAnsi="Times New Roman"/>
          <w:b/>
          <w:bCs/>
          <w:color w:val="2E75B6"/>
        </w:rPr>
        <w:t xml:space="preserve">问题 1：给定策略复算</w:t>
      </w:r>
    </w:p>
    <w:p>
      <w:pPr>
        <w:keepLines/>
        <w:spacing w:after="100" w:before="0" w:line="340"/>
        <w:ind w:firstLine="420"/>
        <w:jc w:val="both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color w:val="1F2937"/>
          <w:sz w:val="21"/>
          <w:szCs w:val="21"/>
        </w:rPr>
        <w:t xml:space="preserve">FY1 以 120 m/s 朝假目标方向飞行，1.5 s 投弹，引信延迟 3.6 s。起爆点为 (17188,0,1736.496) m；严格有效区间为 [8.0564454904,9.4480881587] s，总时长 1.3916426683 s。该结果是后续所有代码的第一基准。</w:t>
      </w:r>
    </w:p>
    <w:p>
      <w:pPr>
        <w:pStyle w:val="Heading2"/>
        <w:keepNext/>
      </w:pPr>
      <w:r>
        <w:rPr>
          <w:rFonts w:ascii="Times New Roman" w:eastAsia="微软雅黑" w:hAnsi="Times New Roman"/>
          <w:b/>
          <w:bCs/>
          <w:color w:val="2E75B6"/>
        </w:rPr>
        <w:t xml:space="preserve">问题 2：四变量优化</w:t>
      </w:r>
    </w:p>
    <w:p>
      <w:pPr>
        <w:keepLines/>
        <w:spacing w:after="100" w:before="0" w:line="340"/>
        <w:ind w:firstLine="420"/>
        <w:jc w:val="both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color w:val="1F2937"/>
          <w:sz w:val="21"/>
          <w:szCs w:val="21"/>
        </w:rPr>
        <w:t xml:space="preserve">决策向量为 x=(ψ,v,td,τ)。优化阶段采用差分进化的离散时间—离散圆周评分，终算切换到连续圆周极值和 Brent 根。当前本地候选为 ψ=176.643°、v=70 m/s、td=0、τ=2.49705 s，严格区间 [2.4970772211,7.0399560480] s，时长 4.5428788269 s。</w:t>
      </w:r>
    </w:p>
    <w:p>
      <w:pPr>
        <w:spacing w:after="120" w:before="60"/>
        <w:jc w:val="center"/>
      </w:pPr>
      <w:r>
        <w:rPr>
          <w:rFonts w:ascii="Times New Roman" w:eastAsia="楷体" w:hAnsi="Times New Roman"/>
          <w:i/>
          <w:iCs/>
          <w:color w:val="6B7280"/>
          <w:sz w:val="18"/>
          <w:szCs w:val="18"/>
        </w:rPr>
        <w:t xml:space="preserve">表 2  问题 1—2 当前严格结果</w:t>
      </w:r>
    </w:p>
    <w:tbl>
      <w:tblPr>
        <w:tblW w:type="dxa" w:w="87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00"/>
        <w:gridCol w:w="1900"/>
        <w:gridCol w:w="1700"/>
        <w:gridCol w:w="2700"/>
        <w:gridCol w:w="1700"/>
      </w:tblGrid>
      <w:tr>
        <w:trPr>
          <w:cantSplit/>
          <w:tblHeader/>
        </w:trPr>
        <w:tc>
          <w:tcPr>
            <w:tcW w:type="dxa" w:w="70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微软雅黑" w:hAnsi="Times New Roman"/>
                <w:b/>
                <w:bCs/>
                <w:color w:val="1F2937"/>
                <w:sz w:val="18"/>
                <w:szCs w:val="18"/>
              </w:rPr>
              <w:t xml:space="preserve">问题</w:t>
            </w:r>
          </w:p>
        </w:tc>
        <w:tc>
          <w:tcPr>
            <w:tcW w:type="dxa" w:w="190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微软雅黑" w:hAnsi="Times New Roman"/>
                <w:b/>
                <w:bCs/>
                <w:color w:val="1F2937"/>
                <w:sz w:val="18"/>
                <w:szCs w:val="18"/>
              </w:rPr>
              <w:t xml:space="preserve">航向/速度</w:t>
            </w:r>
          </w:p>
        </w:tc>
        <w:tc>
          <w:tcPr>
            <w:tcW w:type="dxa" w:w="170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微软雅黑" w:hAnsi="Times New Roman"/>
                <w:b/>
                <w:bCs/>
                <w:color w:val="1F2937"/>
                <w:sz w:val="18"/>
                <w:szCs w:val="18"/>
              </w:rPr>
              <w:t xml:space="preserve">投放/引信</w:t>
            </w:r>
          </w:p>
        </w:tc>
        <w:tc>
          <w:tcPr>
            <w:tcW w:type="dxa" w:w="270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微软雅黑" w:hAnsi="Times New Roman"/>
                <w:b/>
                <w:bCs/>
                <w:color w:val="1F2937"/>
                <w:sz w:val="18"/>
                <w:szCs w:val="18"/>
              </w:rPr>
              <w:t xml:space="preserve">严格区间</w:t>
            </w:r>
          </w:p>
        </w:tc>
        <w:tc>
          <w:tcPr>
            <w:tcW w:type="dxa" w:w="170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微软雅黑" w:hAnsi="Times New Roman"/>
                <w:b/>
                <w:bCs/>
                <w:color w:val="1F2937"/>
                <w:sz w:val="18"/>
                <w:szCs w:val="18"/>
              </w:rPr>
              <w:t xml:space="preserve">时长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color w:val="1F2937"/>
                <w:sz w:val="17"/>
                <w:szCs w:val="17"/>
              </w:rPr>
              <w:t xml:space="preserve">Q1</w:t>
            </w:r>
          </w:p>
        </w:tc>
        <w:tc>
          <w:tcPr>
            <w:tcW w:type="dxa" w:w="190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color w:val="1F2937"/>
                <w:sz w:val="17"/>
                <w:szCs w:val="17"/>
              </w:rPr>
              <w:t xml:space="preserve">180° / 120</w:t>
            </w:r>
          </w:p>
        </w:tc>
        <w:tc>
          <w:tcPr>
            <w:tcW w:type="dxa" w:w="170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color w:val="1F2937"/>
                <w:sz w:val="17"/>
                <w:szCs w:val="17"/>
              </w:rPr>
              <w:t xml:space="preserve">1.5 / 3.6</w:t>
            </w:r>
          </w:p>
        </w:tc>
        <w:tc>
          <w:tcPr>
            <w:tcW w:type="dxa" w:w="270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color w:val="1F2937"/>
                <w:sz w:val="17"/>
                <w:szCs w:val="17"/>
              </w:rPr>
              <w:t xml:space="preserve">8.056445—9.448088</w:t>
            </w:r>
          </w:p>
        </w:tc>
        <w:tc>
          <w:tcPr>
            <w:tcW w:type="dxa" w:w="170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color w:val="1F2937"/>
                <w:sz w:val="17"/>
                <w:szCs w:val="17"/>
              </w:rPr>
              <w:t xml:space="preserve">1.391643 s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F7F9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color w:val="1F2937"/>
                <w:sz w:val="17"/>
                <w:szCs w:val="17"/>
              </w:rPr>
              <w:t xml:space="preserve">Q2</w:t>
            </w:r>
          </w:p>
        </w:tc>
        <w:tc>
          <w:tcPr>
            <w:tcW w:type="dxa" w:w="190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F7F9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color w:val="1F2937"/>
                <w:sz w:val="17"/>
                <w:szCs w:val="17"/>
              </w:rPr>
              <w:t xml:space="preserve">176.643° / 70</w:t>
            </w:r>
          </w:p>
        </w:tc>
        <w:tc>
          <w:tcPr>
            <w:tcW w:type="dxa" w:w="170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F7F9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color w:val="1F2937"/>
                <w:sz w:val="17"/>
                <w:szCs w:val="17"/>
              </w:rPr>
              <w:t xml:space="preserve">0 / 2.49705</w:t>
            </w:r>
          </w:p>
        </w:tc>
        <w:tc>
          <w:tcPr>
            <w:tcW w:type="dxa" w:w="270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F7F9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color w:val="1F2937"/>
                <w:sz w:val="17"/>
                <w:szCs w:val="17"/>
              </w:rPr>
              <w:t xml:space="preserve">2.497077—7.039956</w:t>
            </w:r>
          </w:p>
        </w:tc>
        <w:tc>
          <w:tcPr>
            <w:tcW w:type="dxa" w:w="170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F7F9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color w:val="1F2937"/>
                <w:sz w:val="17"/>
                <w:szCs w:val="17"/>
              </w:rPr>
              <w:t xml:space="preserve">4.542879 s</w:t>
            </w:r>
          </w:p>
        </w:tc>
      </w:tr>
    </w:tbl>
    <w:p>
      <w:pPr>
        <w:pBdr>
          <w:left w:val="single" w:color="C2410C" w:sz="20" w:space="8"/>
        </w:pBdr>
        <w:shd w:fill="FFF3E8" w:val="clear"/>
        <w:spacing w:after="130" w:before="100" w:line="320"/>
        <w:ind w:left="160" w:right="100"/>
      </w:pPr>
      <w:r>
        <w:rPr>
          <w:rFonts w:ascii="Times New Roman" w:eastAsia="微软雅黑" w:hAnsi="Times New Roman"/>
          <w:b/>
          <w:bCs/>
          <w:color w:val="9A3412"/>
          <w:sz w:val="20"/>
          <w:szCs w:val="20"/>
        </w:rPr>
        <w:t xml:space="preserve">结果口径提醒  </w:t>
      </w:r>
      <w:r>
        <w:rPr>
          <w:rFonts w:ascii="Times New Roman" w:eastAsia="宋体" w:hAnsi="Times New Roman"/>
          <w:color w:val="1F2937"/>
          <w:sz w:val="20"/>
          <w:szCs w:val="20"/>
        </w:rPr>
        <w:t xml:space="preserve">Q2 当前结果只能称为数值近优。现有脚本的航向全局搜索集中在 150°—210°，会漏掉朝 +x 方向的迎弹分支；优秀论文给出的约 5.17° 方案在本地严格核心下复算为 4.587264 s。若用于最终论文，应先扩展到 0°—360°并重新寻优。</w:t>
      </w:r>
    </w:p>
    <w:p>
      <w:pPr>
        <w:pStyle w:val="Heading1"/>
        <w:keepNext/>
      </w:pPr>
      <w:r>
        <w:rPr>
          <w:rFonts w:ascii="Times New Roman" w:eastAsia="微软雅黑" w:hAnsi="Times New Roman"/>
          <w:b/>
          <w:bCs/>
          <w:color w:val="2E75B6"/>
        </w:rPr>
        <w:t xml:space="preserve">问题 3：FY1 同航线三弹接力</w:t>
      </w:r>
    </w:p>
    <w:p>
      <w:pPr>
        <w:keepLines/>
        <w:spacing w:after="100" w:before="0" w:line="340"/>
        <w:ind w:firstLine="420"/>
        <w:jc w:val="both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color w:val="1F2937"/>
          <w:sz w:val="21"/>
          <w:szCs w:val="21"/>
        </w:rPr>
        <w:t xml:space="preserve">同一无人机的三枚弹共享航向 ψ 与速度 v，分别设置投放时刻和引信延迟，共 8 个连续变量。相邻投弹时间至少相差 1 s；起爆顺序不必与投放顺序相同。目标是三枚单弹严格完整遮蔽区间的并集长度，并在终算时检查多烟幕空间协同。</w:t>
      </w:r>
    </w:p>
    <w:p>
      <w:pPr>
        <w:pStyle w:val="ListParagraph"/>
        <w:numPr>
          <w:ilvl w:val="0"/>
          <w:numId w:val="2"/>
        </w:numPr>
        <w:spacing w:after="70" w:line="320"/>
      </w:pPr>
      <w:r>
        <w:rPr>
          <w:rFonts w:ascii="Times New Roman" w:eastAsia="宋体" w:hAnsi="Times New Roman"/>
          <w:color w:val="1F2937"/>
          <w:sz w:val="20"/>
          <w:szCs w:val="20"/>
        </w:rPr>
        <w:t xml:space="preserve">先以 Q2 和几何启发产生航线候选，再给定航线优化三组投放/引信时序。</w:t>
      </w:r>
    </w:p>
    <w:p>
      <w:pPr>
        <w:pStyle w:val="ListParagraph"/>
        <w:numPr>
          <w:ilvl w:val="0"/>
          <w:numId w:val="2"/>
        </w:numPr>
        <w:spacing w:after="70" w:line="320"/>
      </w:pPr>
      <w:r>
        <w:rPr>
          <w:rFonts w:ascii="Times New Roman" w:eastAsia="宋体" w:hAnsi="Times New Roman"/>
          <w:color w:val="1F2937"/>
          <w:sz w:val="20"/>
          <w:szCs w:val="20"/>
        </w:rPr>
        <w:t xml:space="preserve">对 8 变量做联合精修；每次保存检查点，优化中断后可继续。</w:t>
      </w:r>
    </w:p>
    <w:p>
      <w:pPr>
        <w:pStyle w:val="ListParagraph"/>
        <w:numPr>
          <w:ilvl w:val="0"/>
          <w:numId w:val="2"/>
        </w:numPr>
        <w:spacing w:after="70" w:line="320"/>
      </w:pPr>
      <w:r>
        <w:rPr>
          <w:rFonts w:ascii="Times New Roman" w:eastAsia="宋体" w:hAnsi="Times New Roman"/>
          <w:color w:val="1F2937"/>
          <w:sz w:val="20"/>
          <w:szCs w:val="20"/>
        </w:rPr>
        <w:t xml:space="preserve">连续圆周终算得到并集 7.6190376709 s；16922 点完整表面复核为 7.6190385750 s。</w:t>
      </w:r>
    </w:p>
    <w:p>
      <w:pPr>
        <w:spacing w:after="120" w:before="60"/>
        <w:jc w:val="center"/>
      </w:pPr>
      <w:r>
        <w:rPr>
          <w:rFonts w:ascii="Times New Roman" w:eastAsia="楷体" w:hAnsi="Times New Roman"/>
          <w:i/>
          <w:iCs/>
          <w:color w:val="6B7280"/>
          <w:sz w:val="18"/>
          <w:szCs w:val="18"/>
        </w:rPr>
        <w:t xml:space="preserve">表 3  FY1 三弹最终参数</w:t>
      </w:r>
    </w:p>
    <w:tbl>
      <w:tblPr>
        <w:tblW w:type="dxa" w:w="8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600"/>
        <w:gridCol w:w="950"/>
        <w:gridCol w:w="700"/>
        <w:gridCol w:w="1250"/>
        <w:gridCol w:w="1050"/>
        <w:gridCol w:w="2500"/>
        <w:gridCol w:w="1050"/>
      </w:tblGrid>
      <w:tr>
        <w:trPr>
          <w:cantSplit/>
          <w:tblHeader/>
        </w:trPr>
        <w:tc>
          <w:tcPr>
            <w:tcW w:type="dxa" w:w="60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微软雅黑" w:hAnsi="Times New Roman"/>
                <w:b/>
                <w:bCs/>
                <w:color w:val="1F2937"/>
                <w:sz w:val="18"/>
                <w:szCs w:val="18"/>
              </w:rPr>
              <w:t xml:space="preserve">弹号</w:t>
            </w:r>
          </w:p>
        </w:tc>
        <w:tc>
          <w:tcPr>
            <w:tcW w:type="dxa" w:w="95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微软雅黑" w:hAnsi="Times New Roman"/>
                <w:b/>
                <w:bCs/>
                <w:color w:val="1F2937"/>
                <w:sz w:val="18"/>
                <w:szCs w:val="18"/>
              </w:rPr>
              <w:t xml:space="preserve">航向</w:t>
            </w:r>
          </w:p>
        </w:tc>
        <w:tc>
          <w:tcPr>
            <w:tcW w:type="dxa" w:w="70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微软雅黑" w:hAnsi="Times New Roman"/>
                <w:b/>
                <w:bCs/>
                <w:color w:val="1F2937"/>
                <w:sz w:val="18"/>
                <w:szCs w:val="18"/>
              </w:rPr>
              <w:t xml:space="preserve">速度</w:t>
            </w:r>
          </w:p>
        </w:tc>
        <w:tc>
          <w:tcPr>
            <w:tcW w:type="dxa" w:w="125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微软雅黑" w:hAnsi="Times New Roman"/>
                <w:b/>
                <w:bCs/>
                <w:color w:val="1F2937"/>
                <w:sz w:val="18"/>
                <w:szCs w:val="18"/>
              </w:rPr>
              <w:t xml:space="preserve">投放时刻</w:t>
            </w:r>
          </w:p>
        </w:tc>
        <w:tc>
          <w:tcPr>
            <w:tcW w:type="dxa" w:w="105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微软雅黑" w:hAnsi="Times New Roman"/>
                <w:b/>
                <w:bCs/>
                <w:color w:val="1F2937"/>
                <w:sz w:val="18"/>
                <w:szCs w:val="18"/>
              </w:rPr>
              <w:t xml:space="preserve">引信延迟</w:t>
            </w:r>
          </w:p>
        </w:tc>
        <w:tc>
          <w:tcPr>
            <w:tcW w:type="dxa" w:w="250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微软雅黑" w:hAnsi="Times New Roman"/>
                <w:b/>
                <w:bCs/>
                <w:color w:val="1F2937"/>
                <w:sz w:val="18"/>
                <w:szCs w:val="18"/>
              </w:rPr>
              <w:t xml:space="preserve">严格区间</w:t>
            </w:r>
          </w:p>
        </w:tc>
        <w:tc>
          <w:tcPr>
            <w:tcW w:type="dxa" w:w="105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微软雅黑" w:hAnsi="Times New Roman"/>
                <w:b/>
                <w:bCs/>
                <w:color w:val="1F2937"/>
                <w:sz w:val="18"/>
                <w:szCs w:val="18"/>
              </w:rPr>
              <w:t xml:space="preserve">贡献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color w:val="1F2937"/>
                <w:sz w:val="16"/>
                <w:szCs w:val="16"/>
              </w:rPr>
              <w:t xml:space="preserve">1</w:t>
            </w:r>
          </w:p>
        </w:tc>
        <w:tc>
          <w:tcPr>
            <w:tcW w:type="dxa" w:w="95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color w:val="1F2937"/>
                <w:sz w:val="16"/>
                <w:szCs w:val="16"/>
              </w:rPr>
              <w:t xml:space="preserve">179.65°</w:t>
            </w:r>
          </w:p>
        </w:tc>
        <w:tc>
          <w:tcPr>
            <w:tcW w:type="dxa" w:w="70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color w:val="1F2937"/>
                <w:sz w:val="16"/>
                <w:szCs w:val="16"/>
              </w:rPr>
              <w:t xml:space="preserve">140</w:t>
            </w:r>
          </w:p>
        </w:tc>
        <w:tc>
          <w:tcPr>
            <w:tcW w:type="dxa" w:w="125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color w:val="1F2937"/>
                <w:sz w:val="16"/>
                <w:szCs w:val="16"/>
              </w:rPr>
              <w:t xml:space="preserve">0</w:t>
            </w:r>
          </w:p>
        </w:tc>
        <w:tc>
          <w:tcPr>
            <w:tcW w:type="dxa" w:w="105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color w:val="1F2937"/>
                <w:sz w:val="16"/>
                <w:szCs w:val="16"/>
              </w:rPr>
              <w:t xml:space="preserve">3.605</w:t>
            </w:r>
          </w:p>
        </w:tc>
        <w:tc>
          <w:tcPr>
            <w:tcW w:type="dxa" w:w="250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color w:val="1F2937"/>
                <w:sz w:val="16"/>
                <w:szCs w:val="16"/>
              </w:rPr>
              <w:t xml:space="preserve">5.212410—9.056756</w:t>
            </w:r>
          </w:p>
        </w:tc>
        <w:tc>
          <w:tcPr>
            <w:tcW w:type="dxa" w:w="105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color w:val="1F2937"/>
                <w:sz w:val="16"/>
                <w:szCs w:val="16"/>
              </w:rPr>
              <w:t xml:space="preserve">3.844346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F7F9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color w:val="1F2937"/>
                <w:sz w:val="16"/>
                <w:szCs w:val="16"/>
              </w:rPr>
              <w:t xml:space="preserve">2</w:t>
            </w:r>
          </w:p>
        </w:tc>
        <w:tc>
          <w:tcPr>
            <w:tcW w:type="dxa" w:w="95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F7F9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color w:val="1F2937"/>
                <w:sz w:val="16"/>
                <w:szCs w:val="16"/>
              </w:rPr>
              <w:t xml:space="preserve">179.65°</w:t>
            </w:r>
          </w:p>
        </w:tc>
        <w:tc>
          <w:tcPr>
            <w:tcW w:type="dxa" w:w="70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F7F9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color w:val="1F2937"/>
                <w:sz w:val="16"/>
                <w:szCs w:val="16"/>
              </w:rPr>
              <w:t xml:space="preserve">140</w:t>
            </w:r>
          </w:p>
        </w:tc>
        <w:tc>
          <w:tcPr>
            <w:tcW w:type="dxa" w:w="125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F7F9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color w:val="1F2937"/>
                <w:sz w:val="16"/>
                <w:szCs w:val="16"/>
              </w:rPr>
              <w:t xml:space="preserve">3.716756</w:t>
            </w:r>
          </w:p>
        </w:tc>
        <w:tc>
          <w:tcPr>
            <w:tcW w:type="dxa" w:w="105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F7F9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color w:val="1F2937"/>
                <w:sz w:val="16"/>
                <w:szCs w:val="16"/>
              </w:rPr>
              <w:t xml:space="preserve">5.34</w:t>
            </w:r>
          </w:p>
        </w:tc>
        <w:tc>
          <w:tcPr>
            <w:tcW w:type="dxa" w:w="250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F7F9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color w:val="1F2937"/>
                <w:sz w:val="16"/>
                <w:szCs w:val="16"/>
              </w:rPr>
              <w:t xml:space="preserve">9.056756—11.638584</w:t>
            </w:r>
          </w:p>
        </w:tc>
        <w:tc>
          <w:tcPr>
            <w:tcW w:type="dxa" w:w="105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F7F9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color w:val="1F2937"/>
                <w:sz w:val="16"/>
                <w:szCs w:val="16"/>
              </w:rPr>
              <w:t xml:space="preserve">2.581828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color w:val="1F2937"/>
                <w:sz w:val="16"/>
                <w:szCs w:val="16"/>
              </w:rPr>
              <w:t xml:space="preserve">3</w:t>
            </w:r>
          </w:p>
        </w:tc>
        <w:tc>
          <w:tcPr>
            <w:tcW w:type="dxa" w:w="95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color w:val="1F2937"/>
                <w:sz w:val="16"/>
                <w:szCs w:val="16"/>
              </w:rPr>
              <w:t xml:space="preserve">179.65°</w:t>
            </w:r>
          </w:p>
        </w:tc>
        <w:tc>
          <w:tcPr>
            <w:tcW w:type="dxa" w:w="70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color w:val="1F2937"/>
                <w:sz w:val="16"/>
                <w:szCs w:val="16"/>
              </w:rPr>
              <w:t xml:space="preserve">140</w:t>
            </w:r>
          </w:p>
        </w:tc>
        <w:tc>
          <w:tcPr>
            <w:tcW w:type="dxa" w:w="125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color w:val="1F2937"/>
                <w:sz w:val="16"/>
                <w:szCs w:val="16"/>
              </w:rPr>
              <w:t xml:space="preserve">5.588584</w:t>
            </w:r>
          </w:p>
        </w:tc>
        <w:tc>
          <w:tcPr>
            <w:tcW w:type="dxa" w:w="105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color w:val="1F2937"/>
                <w:sz w:val="16"/>
                <w:szCs w:val="16"/>
              </w:rPr>
              <w:t xml:space="preserve">6.05</w:t>
            </w:r>
          </w:p>
        </w:tc>
        <w:tc>
          <w:tcPr>
            <w:tcW w:type="dxa" w:w="250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color w:val="1F2937"/>
                <w:sz w:val="16"/>
                <w:szCs w:val="16"/>
              </w:rPr>
              <w:t xml:space="preserve">11.638584—12.831448</w:t>
            </w:r>
          </w:p>
        </w:tc>
        <w:tc>
          <w:tcPr>
            <w:tcW w:type="dxa" w:w="105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color w:val="1F2937"/>
                <w:sz w:val="16"/>
                <w:szCs w:val="16"/>
              </w:rPr>
              <w:t xml:space="preserve">1.192864</w:t>
            </w:r>
          </w:p>
        </w:tc>
      </w:tr>
    </w:tbl>
    <w:p>
      <w:pPr>
        <w:spacing w:after="30" w:before="100"/>
        <w:jc w:val="center"/>
      </w:pPr>
      <w:r>
        <w:drawing>
          <wp:inline distT="0" distB="0" distL="0" distR="0">
            <wp:extent cx="5905500" cy="2247900"/>
            <wp:effectExtent t="0" r="0" b="0" l="0"/>
            <wp:docPr id="1" name="q3_timeline.png" descr="烟幕遮蔽时间轴" title="q3_timelin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24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60"/>
        <w:jc w:val="center"/>
      </w:pPr>
      <w:r>
        <w:rPr>
          <w:rFonts w:ascii="Times New Roman" w:eastAsia="楷体" w:hAnsi="Times New Roman"/>
          <w:i/>
          <w:iCs/>
          <w:color w:val="6B7280"/>
          <w:sz w:val="18"/>
          <w:szCs w:val="18"/>
        </w:rPr>
        <w:t xml:space="preserve">图 1  问题 3 三弹时间接力与严格并集</w:t>
      </w:r>
    </w:p>
    <w:p>
      <w:r>
        <w:br w:type="page"/>
      </w:r>
    </w:p>
    <w:p>
      <w:pPr>
        <w:pStyle w:val="Heading1"/>
        <w:keepNext/>
      </w:pPr>
      <w:r>
        <w:rPr>
          <w:rFonts w:ascii="Times New Roman" w:eastAsia="微软雅黑" w:hAnsi="Times New Roman"/>
          <w:b/>
          <w:bCs/>
          <w:color w:val="2E75B6"/>
        </w:rPr>
        <w:t xml:space="preserve">问题 4：三机独立航线错峰遮蔽</w:t>
      </w:r>
    </w:p>
    <w:p>
      <w:pPr>
        <w:keepLines/>
        <w:spacing w:after="100" w:before="0" w:line="340"/>
        <w:ind w:firstLine="420"/>
        <w:jc w:val="both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color w:val="1F2937"/>
          <w:sz w:val="21"/>
          <w:szCs w:val="21"/>
        </w:rPr>
        <w:t xml:space="preserve">FY1、FY2、FY3 各投一枚弹，各自拥有独立的航向、速度、投放时刻和引信延迟，共 12 个变量。由于三个时间窗可以错峰排列，主收益接近三枚单弹时长之和。求解时对每架无人机先做局部/全局候选搜索，再联合检查时间重叠与完整表面协同。</w:t>
      </w:r>
    </w:p>
    <w:p>
      <w:pPr>
        <w:spacing w:after="120" w:before="60"/>
        <w:jc w:val="center"/>
      </w:pPr>
      <w:r>
        <w:rPr>
          <w:rFonts w:ascii="Times New Roman" w:eastAsia="楷体" w:hAnsi="Times New Roman"/>
          <w:i/>
          <w:iCs/>
          <w:color w:val="6B7280"/>
          <w:sz w:val="18"/>
          <w:szCs w:val="18"/>
        </w:rPr>
        <w:t xml:space="preserve">表 4  三架无人机最终策略</w:t>
      </w:r>
    </w:p>
    <w:tbl>
      <w:tblPr>
        <w:tblW w:type="dxa" w:w="78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0"/>
        <w:gridCol w:w="1300"/>
        <w:gridCol w:w="1200"/>
        <w:gridCol w:w="1450"/>
        <w:gridCol w:w="1350"/>
        <w:gridCol w:w="1500"/>
      </w:tblGrid>
      <w:tr>
        <w:trPr>
          <w:cantSplit/>
          <w:tblHeader/>
        </w:trPr>
        <w:tc>
          <w:tcPr>
            <w:tcW w:type="dxa" w:w="100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微软雅黑" w:hAnsi="Times New Roman"/>
                <w:b/>
                <w:bCs/>
                <w:color w:val="1F2937"/>
                <w:sz w:val="18"/>
                <w:szCs w:val="18"/>
              </w:rPr>
              <w:t xml:space="preserve">无人机</w:t>
            </w:r>
          </w:p>
        </w:tc>
        <w:tc>
          <w:tcPr>
            <w:tcW w:type="dxa" w:w="130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微软雅黑" w:hAnsi="Times New Roman"/>
                <w:b/>
                <w:bCs/>
                <w:color w:val="1F2937"/>
                <w:sz w:val="18"/>
                <w:szCs w:val="18"/>
              </w:rPr>
              <w:t xml:space="preserve">航向</w:t>
            </w:r>
          </w:p>
        </w:tc>
        <w:tc>
          <w:tcPr>
            <w:tcW w:type="dxa" w:w="120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微软雅黑" w:hAnsi="Times New Roman"/>
                <w:b/>
                <w:bCs/>
                <w:color w:val="1F2937"/>
                <w:sz w:val="18"/>
                <w:szCs w:val="18"/>
              </w:rPr>
              <w:t xml:space="preserve">速度</w:t>
            </w:r>
          </w:p>
        </w:tc>
        <w:tc>
          <w:tcPr>
            <w:tcW w:type="dxa" w:w="145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微软雅黑" w:hAnsi="Times New Roman"/>
                <w:b/>
                <w:bCs/>
                <w:color w:val="1F2937"/>
                <w:sz w:val="18"/>
                <w:szCs w:val="18"/>
              </w:rPr>
              <w:t xml:space="preserve">投放</w:t>
            </w:r>
          </w:p>
        </w:tc>
        <w:tc>
          <w:tcPr>
            <w:tcW w:type="dxa" w:w="135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微软雅黑" w:hAnsi="Times New Roman"/>
                <w:b/>
                <w:bCs/>
                <w:color w:val="1F2937"/>
                <w:sz w:val="18"/>
                <w:szCs w:val="18"/>
              </w:rPr>
              <w:t xml:space="preserve">引信</w:t>
            </w:r>
          </w:p>
        </w:tc>
        <w:tc>
          <w:tcPr>
            <w:tcW w:type="dxa" w:w="150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微软雅黑" w:hAnsi="Times New Roman"/>
                <w:b/>
                <w:bCs/>
                <w:color w:val="1F2937"/>
                <w:sz w:val="18"/>
                <w:szCs w:val="18"/>
              </w:rPr>
              <w:t xml:space="preserve">严格时长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color w:val="1F2937"/>
                <w:sz w:val="17"/>
                <w:szCs w:val="17"/>
              </w:rPr>
              <w:t xml:space="preserve">FY1</w:t>
            </w:r>
          </w:p>
        </w:tc>
        <w:tc>
          <w:tcPr>
            <w:tcW w:type="dxa" w:w="130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color w:val="1F2937"/>
                <w:sz w:val="17"/>
                <w:szCs w:val="17"/>
              </w:rPr>
              <w:t xml:space="preserve">176.643°</w:t>
            </w:r>
          </w:p>
        </w:tc>
        <w:tc>
          <w:tcPr>
            <w:tcW w:type="dxa" w:w="120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color w:val="1F2937"/>
                <w:sz w:val="17"/>
                <w:szCs w:val="17"/>
              </w:rPr>
              <w:t xml:space="preserve">70.000</w:t>
            </w:r>
          </w:p>
        </w:tc>
        <w:tc>
          <w:tcPr>
            <w:tcW w:type="dxa" w:w="145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color w:val="1F2937"/>
                <w:sz w:val="17"/>
                <w:szCs w:val="17"/>
              </w:rPr>
              <w:t xml:space="preserve">0</w:t>
            </w:r>
          </w:p>
        </w:tc>
        <w:tc>
          <w:tcPr>
            <w:tcW w:type="dxa" w:w="135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color w:val="1F2937"/>
                <w:sz w:val="17"/>
                <w:szCs w:val="17"/>
              </w:rPr>
              <w:t xml:space="preserve">2.49705</w:t>
            </w:r>
          </w:p>
        </w:tc>
        <w:tc>
          <w:tcPr>
            <w:tcW w:type="dxa" w:w="150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color w:val="1F2937"/>
                <w:sz w:val="17"/>
                <w:szCs w:val="17"/>
              </w:rPr>
              <w:t xml:space="preserve">4.542879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F7F9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color w:val="1F2937"/>
                <w:sz w:val="17"/>
                <w:szCs w:val="17"/>
              </w:rPr>
              <w:t xml:space="preserve">FY2</w:t>
            </w:r>
          </w:p>
        </w:tc>
        <w:tc>
          <w:tcPr>
            <w:tcW w:type="dxa" w:w="130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F7F9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color w:val="1F2937"/>
                <w:sz w:val="17"/>
                <w:szCs w:val="17"/>
              </w:rPr>
              <w:t xml:space="preserve">298.525°</w:t>
            </w:r>
          </w:p>
        </w:tc>
        <w:tc>
          <w:tcPr>
            <w:tcW w:type="dxa" w:w="120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F7F9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color w:val="1F2937"/>
                <w:sz w:val="17"/>
                <w:szCs w:val="17"/>
              </w:rPr>
              <w:t xml:space="preserve">139.770</w:t>
            </w:r>
          </w:p>
        </w:tc>
        <w:tc>
          <w:tcPr>
            <w:tcW w:type="dxa" w:w="145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F7F9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color w:val="1F2937"/>
                <w:sz w:val="17"/>
                <w:szCs w:val="17"/>
              </w:rPr>
              <w:t xml:space="preserve">6.457246</w:t>
            </w:r>
          </w:p>
        </w:tc>
        <w:tc>
          <w:tcPr>
            <w:tcW w:type="dxa" w:w="135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F7F9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color w:val="1F2937"/>
                <w:sz w:val="17"/>
                <w:szCs w:val="17"/>
              </w:rPr>
              <w:t xml:space="preserve">4.696824</w:t>
            </w:r>
          </w:p>
        </w:tc>
        <w:tc>
          <w:tcPr>
            <w:tcW w:type="dxa" w:w="150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F7F9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color w:val="1F2937"/>
                <w:sz w:val="17"/>
                <w:szCs w:val="17"/>
              </w:rPr>
              <w:t xml:space="preserve">3.913883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color w:val="1F2937"/>
                <w:sz w:val="17"/>
                <w:szCs w:val="17"/>
              </w:rPr>
              <w:t xml:space="preserve">FY3</w:t>
            </w:r>
          </w:p>
        </w:tc>
        <w:tc>
          <w:tcPr>
            <w:tcW w:type="dxa" w:w="130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color w:val="1F2937"/>
                <w:sz w:val="17"/>
                <w:szCs w:val="17"/>
              </w:rPr>
              <w:t xml:space="preserve">106.080°</w:t>
            </w:r>
          </w:p>
        </w:tc>
        <w:tc>
          <w:tcPr>
            <w:tcW w:type="dxa" w:w="120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color w:val="1F2937"/>
                <w:sz w:val="17"/>
                <w:szCs w:val="17"/>
              </w:rPr>
              <w:t xml:space="preserve">93.7499</w:t>
            </w:r>
          </w:p>
        </w:tc>
        <w:tc>
          <w:tcPr>
            <w:tcW w:type="dxa" w:w="145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color w:val="1F2937"/>
                <w:sz w:val="17"/>
                <w:szCs w:val="17"/>
              </w:rPr>
              <w:t xml:space="preserve">28.212156</w:t>
            </w:r>
          </w:p>
        </w:tc>
        <w:tc>
          <w:tcPr>
            <w:tcW w:type="dxa" w:w="135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color w:val="1F2937"/>
                <w:sz w:val="17"/>
                <w:szCs w:val="17"/>
              </w:rPr>
              <w:t xml:space="preserve">6.095</w:t>
            </w:r>
          </w:p>
        </w:tc>
        <w:tc>
          <w:tcPr>
            <w:tcW w:type="dxa" w:w="150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color w:val="1F2937"/>
                <w:sz w:val="17"/>
                <w:szCs w:val="17"/>
              </w:rPr>
              <w:t xml:space="preserve">2.685032</w:t>
            </w:r>
          </w:p>
        </w:tc>
      </w:tr>
    </w:tbl>
    <w:p>
      <w:pPr>
        <w:keepLines/>
        <w:spacing w:after="100" w:before="0" w:line="340"/>
        <w:ind w:firstLine="420"/>
        <w:jc w:val="both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color w:val="1F2937"/>
          <w:sz w:val="21"/>
          <w:szCs w:val="21"/>
        </w:rPr>
        <w:t xml:space="preserve">三段严格区间分别为 [2.497077,7.039956]、[14.771828,18.685711]、[34.480415,37.165447] s，彼此不重叠；并集为 11.1417943151 s。16922 点完整表面复核为 11.1418036940 s，协同增益不足 10⁻⁵ s。</w:t>
      </w:r>
    </w:p>
    <w:p>
      <w:pPr>
        <w:spacing w:after="30" w:before="100"/>
        <w:jc w:val="center"/>
      </w:pPr>
      <w:r>
        <w:drawing>
          <wp:inline distT="0" distB="0" distL="0" distR="0">
            <wp:extent cx="5905500" cy="2143125"/>
            <wp:effectExtent t="0" r="0" b="0" l="0"/>
            <wp:docPr id="1" name="q4_timeline.png" descr="烟幕遮蔽时间轴" title="q4_timelin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60"/>
        <w:jc w:val="center"/>
      </w:pPr>
      <w:r>
        <w:rPr>
          <w:rFonts w:ascii="Times New Roman" w:eastAsia="楷体" w:hAnsi="Times New Roman"/>
          <w:i/>
          <w:iCs/>
          <w:color w:val="6B7280"/>
          <w:sz w:val="18"/>
          <w:szCs w:val="18"/>
        </w:rPr>
        <w:t xml:space="preserve">图 2  问题 4 三机错峰遮蔽时间轴</w:t>
      </w:r>
    </w:p>
    <w:p>
      <w:pPr>
        <w:pStyle w:val="Heading1"/>
        <w:keepNext/>
      </w:pPr>
      <w:r>
        <w:rPr>
          <w:rFonts w:ascii="Times New Roman" w:eastAsia="微软雅黑" w:hAnsi="Times New Roman"/>
          <w:b/>
          <w:bCs/>
          <w:color w:val="2E75B6"/>
        </w:rPr>
        <w:t xml:space="preserve">问题 5：配对、分派与三导弹调度</w:t>
      </w:r>
    </w:p>
    <w:p>
      <w:pPr>
        <w:keepLines/>
        <w:spacing w:after="100" w:before="0" w:line="340"/>
        <w:ind w:firstLine="420"/>
        <w:jc w:val="both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color w:val="1F2937"/>
          <w:sz w:val="21"/>
          <w:szCs w:val="21"/>
        </w:rPr>
        <w:t xml:space="preserve">当前本地程序把目标明确写为：分别计算 M1、M2、M3 的严格完整遮蔽时间并集，再将三个时长相加。求解结构为“15 对 UAV—导弹探针框架→选择可行配对→同机共享航线多弹优化→逐导弹严格终算→完整表面复核”。</w:t>
      </w:r>
    </w:p>
    <w:p>
      <w:pPr>
        <w:shd w:fill="F6F8FA" w:val="clear"/>
        <w:spacing w:after="100" w:before="80"/>
        <w:jc w:val="center"/>
      </w:pPr>
      <w:r>
        <w:rPr>
          <w:rFonts w:ascii="Times New Roman" w:eastAsia="宋体" w:hAnsi="Times New Roman"/>
          <w:i/>
          <w:iCs/>
          <w:color w:val="0B2748"/>
          <w:sz w:val="20"/>
          <w:szCs w:val="20"/>
        </w:rPr>
        <w:t xml:space="preserve">J_sum = |E_M1| + |E_M2| + |E_M3|</w:t>
      </w:r>
    </w:p>
    <w:p>
      <w:pPr>
        <w:spacing w:after="120" w:before="60"/>
        <w:jc w:val="center"/>
      </w:pPr>
      <w:r>
        <w:rPr>
          <w:rFonts w:ascii="Times New Roman" w:eastAsia="楷体" w:hAnsi="Times New Roman"/>
          <w:i/>
          <w:iCs/>
          <w:color w:val="6B7280"/>
          <w:sz w:val="18"/>
          <w:szCs w:val="18"/>
        </w:rPr>
        <w:t xml:space="preserve">表 5  当前任务分配与分导弹结果</w:t>
      </w:r>
    </w:p>
    <w:tbl>
      <w:tblPr>
        <w:tblW w:type="dxa" w:w="83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0"/>
        <w:gridCol w:w="2400"/>
        <w:gridCol w:w="800"/>
        <w:gridCol w:w="2100"/>
        <w:gridCol w:w="2100"/>
      </w:tblGrid>
      <w:tr>
        <w:trPr>
          <w:cantSplit/>
          <w:tblHeader/>
        </w:trPr>
        <w:tc>
          <w:tcPr>
            <w:tcW w:type="dxa" w:w="90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微软雅黑" w:hAnsi="Times New Roman"/>
                <w:b/>
                <w:bCs/>
                <w:color w:val="1F2937"/>
                <w:sz w:val="18"/>
                <w:szCs w:val="18"/>
              </w:rPr>
              <w:t xml:space="preserve">导弹</w:t>
            </w:r>
          </w:p>
        </w:tc>
        <w:tc>
          <w:tcPr>
            <w:tcW w:type="dxa" w:w="240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微软雅黑" w:hAnsi="Times New Roman"/>
                <w:b/>
                <w:bCs/>
                <w:color w:val="1F2937"/>
                <w:sz w:val="18"/>
                <w:szCs w:val="18"/>
              </w:rPr>
              <w:t xml:space="preserve">主要无人机</w:t>
            </w:r>
          </w:p>
        </w:tc>
        <w:tc>
          <w:tcPr>
            <w:tcW w:type="dxa" w:w="80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微软雅黑" w:hAnsi="Times New Roman"/>
                <w:b/>
                <w:bCs/>
                <w:color w:val="1F2937"/>
                <w:sz w:val="18"/>
                <w:szCs w:val="18"/>
              </w:rPr>
              <w:t xml:space="preserve">弹数</w:t>
            </w:r>
          </w:p>
        </w:tc>
        <w:tc>
          <w:tcPr>
            <w:tcW w:type="dxa" w:w="210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微软雅黑" w:hAnsi="Times New Roman"/>
                <w:b/>
                <w:bCs/>
                <w:color w:val="1F2937"/>
                <w:sz w:val="18"/>
                <w:szCs w:val="18"/>
              </w:rPr>
              <w:t xml:space="preserve">严格并集</w:t>
            </w:r>
          </w:p>
        </w:tc>
        <w:tc>
          <w:tcPr>
            <w:tcW w:type="dxa" w:w="210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微软雅黑" w:hAnsi="Times New Roman"/>
                <w:b/>
                <w:bCs/>
                <w:color w:val="1F2937"/>
                <w:sz w:val="18"/>
                <w:szCs w:val="18"/>
              </w:rPr>
              <w:t xml:space="preserve">完整表面复核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color w:val="1F2937"/>
                <w:sz w:val="17"/>
                <w:szCs w:val="17"/>
              </w:rPr>
              <w:t xml:space="preserve">M1</w:t>
            </w:r>
          </w:p>
        </w:tc>
        <w:tc>
          <w:tcPr>
            <w:tcW w:type="dxa" w:w="240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color w:val="1F2937"/>
                <w:sz w:val="17"/>
                <w:szCs w:val="17"/>
              </w:rPr>
              <w:t xml:space="preserve">FY1</w:t>
            </w:r>
          </w:p>
        </w:tc>
        <w:tc>
          <w:tcPr>
            <w:tcW w:type="dxa" w:w="80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color w:val="1F2937"/>
                <w:sz w:val="17"/>
                <w:szCs w:val="17"/>
              </w:rPr>
              <w:t xml:space="preserve">3</w:t>
            </w:r>
          </w:p>
        </w:tc>
        <w:tc>
          <w:tcPr>
            <w:tcW w:type="dxa" w:w="210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color w:val="1F2937"/>
                <w:sz w:val="17"/>
                <w:szCs w:val="17"/>
              </w:rPr>
              <w:t xml:space="preserve">7.619037671</w:t>
            </w:r>
          </w:p>
        </w:tc>
        <w:tc>
          <w:tcPr>
            <w:tcW w:type="dxa" w:w="210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color w:val="1F2937"/>
                <w:sz w:val="17"/>
                <w:szCs w:val="17"/>
              </w:rPr>
              <w:t xml:space="preserve">7.619038575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F7F9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color w:val="1F2937"/>
                <w:sz w:val="17"/>
                <w:szCs w:val="17"/>
              </w:rPr>
              <w:t xml:space="preserve">M2</w:t>
            </w:r>
          </w:p>
        </w:tc>
        <w:tc>
          <w:tcPr>
            <w:tcW w:type="dxa" w:w="240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F7F9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color w:val="1F2937"/>
                <w:sz w:val="17"/>
                <w:szCs w:val="17"/>
              </w:rPr>
              <w:t xml:space="preserve">FY2、FY3、FY4</w:t>
            </w:r>
          </w:p>
        </w:tc>
        <w:tc>
          <w:tcPr>
            <w:tcW w:type="dxa" w:w="80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F7F9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color w:val="1F2937"/>
                <w:sz w:val="17"/>
                <w:szCs w:val="17"/>
              </w:rPr>
              <w:t xml:space="preserve">4</w:t>
            </w:r>
          </w:p>
        </w:tc>
        <w:tc>
          <w:tcPr>
            <w:tcW w:type="dxa" w:w="210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F7F9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color w:val="1F2937"/>
                <w:sz w:val="17"/>
                <w:szCs w:val="17"/>
              </w:rPr>
              <w:t xml:space="preserve">10.712472066</w:t>
            </w:r>
          </w:p>
        </w:tc>
        <w:tc>
          <w:tcPr>
            <w:tcW w:type="dxa" w:w="210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F7F9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color w:val="1F2937"/>
                <w:sz w:val="17"/>
                <w:szCs w:val="17"/>
              </w:rPr>
              <w:t xml:space="preserve">10.712483855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color w:val="1F2937"/>
                <w:sz w:val="17"/>
                <w:szCs w:val="17"/>
              </w:rPr>
              <w:t xml:space="preserve">M3</w:t>
            </w:r>
          </w:p>
        </w:tc>
        <w:tc>
          <w:tcPr>
            <w:tcW w:type="dxa" w:w="240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color w:val="1F2937"/>
                <w:sz w:val="17"/>
                <w:szCs w:val="17"/>
              </w:rPr>
              <w:t xml:space="preserve">FY5</w:t>
            </w:r>
          </w:p>
        </w:tc>
        <w:tc>
          <w:tcPr>
            <w:tcW w:type="dxa" w:w="80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color w:val="1F2937"/>
                <w:sz w:val="17"/>
                <w:szCs w:val="17"/>
              </w:rPr>
              <w:t xml:space="preserve">1</w:t>
            </w:r>
          </w:p>
        </w:tc>
        <w:tc>
          <w:tcPr>
            <w:tcW w:type="dxa" w:w="210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color w:val="1F2937"/>
                <w:sz w:val="17"/>
                <w:szCs w:val="17"/>
              </w:rPr>
              <w:t xml:space="preserve">3.721573149</w:t>
            </w:r>
          </w:p>
        </w:tc>
        <w:tc>
          <w:tcPr>
            <w:tcW w:type="dxa" w:w="210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color w:val="1F2937"/>
                <w:sz w:val="17"/>
                <w:szCs w:val="17"/>
              </w:rPr>
              <w:t xml:space="preserve">3.721577957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F7F9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color w:val="1F2937"/>
                <w:sz w:val="17"/>
                <w:szCs w:val="17"/>
              </w:rPr>
              <w:t xml:space="preserve">合计</w:t>
            </w:r>
          </w:p>
        </w:tc>
        <w:tc>
          <w:tcPr>
            <w:tcW w:type="dxa" w:w="240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F7F9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color w:val="1F2937"/>
                <w:sz w:val="17"/>
                <w:szCs w:val="17"/>
              </w:rPr>
              <w:t xml:space="preserve">5 架无人机</w:t>
            </w:r>
          </w:p>
        </w:tc>
        <w:tc>
          <w:tcPr>
            <w:tcW w:type="dxa" w:w="80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F7F9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color w:val="1F2937"/>
                <w:sz w:val="17"/>
                <w:szCs w:val="17"/>
              </w:rPr>
              <w:t xml:space="preserve">8</w:t>
            </w:r>
          </w:p>
        </w:tc>
        <w:tc>
          <w:tcPr>
            <w:tcW w:type="dxa" w:w="210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F7F9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color w:val="1F2937"/>
                <w:sz w:val="17"/>
                <w:szCs w:val="17"/>
              </w:rPr>
              <w:t xml:space="preserve">22.053082886</w:t>
            </w:r>
          </w:p>
        </w:tc>
        <w:tc>
          <w:tcPr>
            <w:tcW w:type="dxa" w:w="210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F7F9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color w:val="1F2937"/>
                <w:sz w:val="17"/>
                <w:szCs w:val="17"/>
              </w:rPr>
              <w:t xml:space="preserve">22.053100387</w:t>
            </w:r>
          </w:p>
        </w:tc>
      </w:tr>
    </w:tbl>
    <w:p>
      <w:pPr>
        <w:pStyle w:val="Heading1"/>
        <w:keepNext/>
      </w:pPr>
      <w:r>
        <w:rPr>
          <w:rFonts w:ascii="Times New Roman" w:eastAsia="微软雅黑" w:hAnsi="Times New Roman"/>
          <w:b/>
          <w:bCs/>
          <w:color w:val="2E75B6"/>
        </w:rPr>
        <w:t xml:space="preserve">问题 5 最终投放参数</w:t>
      </w:r>
    </w:p>
    <w:tbl>
      <w:tblPr>
        <w:tblW w:type="dxa" w:w="845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00"/>
        <w:gridCol w:w="650"/>
        <w:gridCol w:w="600"/>
        <w:gridCol w:w="1900"/>
        <w:gridCol w:w="2000"/>
        <w:gridCol w:w="2500"/>
      </w:tblGrid>
      <w:tr>
        <w:trPr>
          <w:cantSplit/>
          <w:tblHeader/>
        </w:trPr>
        <w:tc>
          <w:tcPr>
            <w:tcW w:type="dxa" w:w="80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微软雅黑" w:hAnsi="Times New Roman"/>
                <w:b/>
                <w:bCs/>
                <w:color w:val="1F2937"/>
                <w:sz w:val="16"/>
                <w:szCs w:val="16"/>
              </w:rPr>
              <w:t xml:space="preserve">无人机</w:t>
            </w:r>
          </w:p>
        </w:tc>
        <w:tc>
          <w:tcPr>
            <w:tcW w:type="dxa" w:w="65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微软雅黑" w:hAnsi="Times New Roman"/>
                <w:b/>
                <w:bCs/>
                <w:color w:val="1F2937"/>
                <w:sz w:val="16"/>
                <w:szCs w:val="16"/>
              </w:rPr>
              <w:t xml:space="preserve">目标</w:t>
            </w:r>
          </w:p>
        </w:tc>
        <w:tc>
          <w:tcPr>
            <w:tcW w:type="dxa" w:w="60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微软雅黑" w:hAnsi="Times New Roman"/>
                <w:b/>
                <w:bCs/>
                <w:color w:val="1F2937"/>
                <w:sz w:val="16"/>
                <w:szCs w:val="16"/>
              </w:rPr>
              <w:t xml:space="preserve">弹号</w:t>
            </w:r>
          </w:p>
        </w:tc>
        <w:tc>
          <w:tcPr>
            <w:tcW w:type="dxa" w:w="190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微软雅黑" w:hAnsi="Times New Roman"/>
                <w:b/>
                <w:bCs/>
                <w:color w:val="1F2937"/>
                <w:sz w:val="16"/>
                <w:szCs w:val="16"/>
              </w:rPr>
              <w:t xml:space="preserve">航向/速度</w:t>
            </w:r>
          </w:p>
        </w:tc>
        <w:tc>
          <w:tcPr>
            <w:tcW w:type="dxa" w:w="200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微软雅黑" w:hAnsi="Times New Roman"/>
                <w:b/>
                <w:bCs/>
                <w:color w:val="1F2937"/>
                <w:sz w:val="16"/>
                <w:szCs w:val="16"/>
              </w:rPr>
              <w:t xml:space="preserve">投放/引信</w:t>
            </w:r>
          </w:p>
        </w:tc>
        <w:tc>
          <w:tcPr>
            <w:tcW w:type="dxa" w:w="250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微软雅黑" w:hAnsi="Times New Roman"/>
                <w:b/>
                <w:bCs/>
                <w:color w:val="1F2937"/>
                <w:sz w:val="16"/>
                <w:szCs w:val="16"/>
              </w:rPr>
              <w:t xml:space="preserve">单弹严格区间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color w:val="1F2937"/>
                <w:sz w:val="15"/>
                <w:szCs w:val="15"/>
              </w:rPr>
              <w:t xml:space="preserve">FY1</w:t>
            </w:r>
          </w:p>
        </w:tc>
        <w:tc>
          <w:tcPr>
            <w:tcW w:type="dxa" w:w="65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color w:val="1F2937"/>
                <w:sz w:val="15"/>
                <w:szCs w:val="15"/>
              </w:rPr>
              <w:t xml:space="preserve">M1</w:t>
            </w:r>
          </w:p>
        </w:tc>
        <w:tc>
          <w:tcPr>
            <w:tcW w:type="dxa" w:w="60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color w:val="1F2937"/>
                <w:sz w:val="15"/>
                <w:szCs w:val="15"/>
              </w:rPr>
              <w:t xml:space="preserve">1</w:t>
            </w:r>
          </w:p>
        </w:tc>
        <w:tc>
          <w:tcPr>
            <w:tcW w:type="dxa" w:w="190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color w:val="1F2937"/>
                <w:sz w:val="15"/>
                <w:szCs w:val="15"/>
              </w:rPr>
              <w:t xml:space="preserve">179.65° / 140</w:t>
            </w:r>
          </w:p>
        </w:tc>
        <w:tc>
          <w:tcPr>
            <w:tcW w:type="dxa" w:w="200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color w:val="1F2937"/>
                <w:sz w:val="15"/>
                <w:szCs w:val="15"/>
              </w:rPr>
              <w:t xml:space="preserve">0 / 3.605</w:t>
            </w:r>
          </w:p>
        </w:tc>
        <w:tc>
          <w:tcPr>
            <w:tcW w:type="dxa" w:w="250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color w:val="1F2937"/>
                <w:sz w:val="15"/>
                <w:szCs w:val="15"/>
              </w:rPr>
              <w:t xml:space="preserve">5.212410—9.056756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F7F9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color w:val="1F2937"/>
                <w:sz w:val="15"/>
                <w:szCs w:val="15"/>
              </w:rPr>
              <w:t xml:space="preserve">FY1</w:t>
            </w:r>
          </w:p>
        </w:tc>
        <w:tc>
          <w:tcPr>
            <w:tcW w:type="dxa" w:w="65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F7F9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color w:val="1F2937"/>
                <w:sz w:val="15"/>
                <w:szCs w:val="15"/>
              </w:rPr>
              <w:t xml:space="preserve">M1</w:t>
            </w:r>
          </w:p>
        </w:tc>
        <w:tc>
          <w:tcPr>
            <w:tcW w:type="dxa" w:w="60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F7F9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color w:val="1F2937"/>
                <w:sz w:val="15"/>
                <w:szCs w:val="15"/>
              </w:rPr>
              <w:t xml:space="preserve">2</w:t>
            </w:r>
          </w:p>
        </w:tc>
        <w:tc>
          <w:tcPr>
            <w:tcW w:type="dxa" w:w="190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F7F9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color w:val="1F2937"/>
                <w:sz w:val="15"/>
                <w:szCs w:val="15"/>
              </w:rPr>
              <w:t xml:space="preserve">179.65° / 140</w:t>
            </w:r>
          </w:p>
        </w:tc>
        <w:tc>
          <w:tcPr>
            <w:tcW w:type="dxa" w:w="200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F7F9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color w:val="1F2937"/>
                <w:sz w:val="15"/>
                <w:szCs w:val="15"/>
              </w:rPr>
              <w:t xml:space="preserve">3.716756 / 5.34</w:t>
            </w:r>
          </w:p>
        </w:tc>
        <w:tc>
          <w:tcPr>
            <w:tcW w:type="dxa" w:w="250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F7F9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color w:val="1F2937"/>
                <w:sz w:val="15"/>
                <w:szCs w:val="15"/>
              </w:rPr>
              <w:t xml:space="preserve">9.056756—11.638584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color w:val="1F2937"/>
                <w:sz w:val="15"/>
                <w:szCs w:val="15"/>
              </w:rPr>
              <w:t xml:space="preserve">FY1</w:t>
            </w:r>
          </w:p>
        </w:tc>
        <w:tc>
          <w:tcPr>
            <w:tcW w:type="dxa" w:w="65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color w:val="1F2937"/>
                <w:sz w:val="15"/>
                <w:szCs w:val="15"/>
              </w:rPr>
              <w:t xml:space="preserve">M1</w:t>
            </w:r>
          </w:p>
        </w:tc>
        <w:tc>
          <w:tcPr>
            <w:tcW w:type="dxa" w:w="60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color w:val="1F2937"/>
                <w:sz w:val="15"/>
                <w:szCs w:val="15"/>
              </w:rPr>
              <w:t xml:space="preserve">3</w:t>
            </w:r>
          </w:p>
        </w:tc>
        <w:tc>
          <w:tcPr>
            <w:tcW w:type="dxa" w:w="190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color w:val="1F2937"/>
                <w:sz w:val="15"/>
                <w:szCs w:val="15"/>
              </w:rPr>
              <w:t xml:space="preserve">179.65° / 140</w:t>
            </w:r>
          </w:p>
        </w:tc>
        <w:tc>
          <w:tcPr>
            <w:tcW w:type="dxa" w:w="200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color w:val="1F2937"/>
                <w:sz w:val="15"/>
                <w:szCs w:val="15"/>
              </w:rPr>
              <w:t xml:space="preserve">5.588584 / 6.05</w:t>
            </w:r>
          </w:p>
        </w:tc>
        <w:tc>
          <w:tcPr>
            <w:tcW w:type="dxa" w:w="250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color w:val="1F2937"/>
                <w:sz w:val="15"/>
                <w:szCs w:val="15"/>
              </w:rPr>
              <w:t xml:space="preserve">11.638584—12.831448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F7F9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color w:val="1F2937"/>
                <w:sz w:val="15"/>
                <w:szCs w:val="15"/>
              </w:rPr>
              <w:t xml:space="preserve">FY2</w:t>
            </w:r>
          </w:p>
        </w:tc>
        <w:tc>
          <w:tcPr>
            <w:tcW w:type="dxa" w:w="65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F7F9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color w:val="1F2937"/>
                <w:sz w:val="15"/>
                <w:szCs w:val="15"/>
              </w:rPr>
              <w:t xml:space="preserve">M2</w:t>
            </w:r>
          </w:p>
        </w:tc>
        <w:tc>
          <w:tcPr>
            <w:tcW w:type="dxa" w:w="60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F7F9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color w:val="1F2937"/>
                <w:sz w:val="15"/>
                <w:szCs w:val="15"/>
              </w:rPr>
              <w:t xml:space="preserve">1</w:t>
            </w:r>
          </w:p>
        </w:tc>
        <w:tc>
          <w:tcPr>
            <w:tcW w:type="dxa" w:w="190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F7F9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color w:val="1F2937"/>
                <w:sz w:val="15"/>
                <w:szCs w:val="15"/>
              </w:rPr>
              <w:t xml:space="preserve">293.8798° / 139.994</w:t>
            </w:r>
          </w:p>
        </w:tc>
        <w:tc>
          <w:tcPr>
            <w:tcW w:type="dxa" w:w="200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F7F9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color w:val="1F2937"/>
                <w:sz w:val="15"/>
                <w:szCs w:val="15"/>
              </w:rPr>
              <w:t xml:space="preserve">5.505001 / 2.004227</w:t>
            </w:r>
          </w:p>
        </w:tc>
        <w:tc>
          <w:tcPr>
            <w:tcW w:type="dxa" w:w="250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F7F9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color w:val="1F2937"/>
                <w:sz w:val="15"/>
                <w:szCs w:val="15"/>
              </w:rPr>
              <w:t xml:space="preserve">7.509301—11.461912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color w:val="1F2937"/>
                <w:sz w:val="15"/>
                <w:szCs w:val="15"/>
              </w:rPr>
              <w:t xml:space="preserve">FY2</w:t>
            </w:r>
          </w:p>
        </w:tc>
        <w:tc>
          <w:tcPr>
            <w:tcW w:type="dxa" w:w="65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color w:val="1F2937"/>
                <w:sz w:val="15"/>
                <w:szCs w:val="15"/>
              </w:rPr>
              <w:t xml:space="preserve">M2</w:t>
            </w:r>
          </w:p>
        </w:tc>
        <w:tc>
          <w:tcPr>
            <w:tcW w:type="dxa" w:w="60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color w:val="1F2937"/>
                <w:sz w:val="15"/>
                <w:szCs w:val="15"/>
              </w:rPr>
              <w:t xml:space="preserve">2</w:t>
            </w:r>
          </w:p>
        </w:tc>
        <w:tc>
          <w:tcPr>
            <w:tcW w:type="dxa" w:w="190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color w:val="1F2937"/>
                <w:sz w:val="15"/>
                <w:szCs w:val="15"/>
              </w:rPr>
              <w:t xml:space="preserve">293.8798° / 139.994</w:t>
            </w:r>
          </w:p>
        </w:tc>
        <w:tc>
          <w:tcPr>
            <w:tcW w:type="dxa" w:w="200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color w:val="1F2937"/>
                <w:sz w:val="15"/>
                <w:szCs w:val="15"/>
              </w:rPr>
              <w:t xml:space="preserve">6.650437 / 0.978955</w:t>
            </w:r>
          </w:p>
        </w:tc>
        <w:tc>
          <w:tcPr>
            <w:tcW w:type="dxa" w:w="250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color w:val="1F2937"/>
                <w:sz w:val="15"/>
                <w:szCs w:val="15"/>
              </w:rPr>
              <w:t xml:space="preserve">12.536934—16.399356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F7F9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color w:val="1F2937"/>
                <w:sz w:val="15"/>
                <w:szCs w:val="15"/>
              </w:rPr>
              <w:t xml:space="preserve">FY3</w:t>
            </w:r>
          </w:p>
        </w:tc>
        <w:tc>
          <w:tcPr>
            <w:tcW w:type="dxa" w:w="65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F7F9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color w:val="1F2937"/>
                <w:sz w:val="15"/>
                <w:szCs w:val="15"/>
              </w:rPr>
              <w:t xml:space="preserve">M2</w:t>
            </w:r>
          </w:p>
        </w:tc>
        <w:tc>
          <w:tcPr>
            <w:tcW w:type="dxa" w:w="60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F7F9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color w:val="1F2937"/>
                <w:sz w:val="15"/>
                <w:szCs w:val="15"/>
              </w:rPr>
              <w:t xml:space="preserve">1</w:t>
            </w:r>
          </w:p>
        </w:tc>
        <w:tc>
          <w:tcPr>
            <w:tcW w:type="dxa" w:w="190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F7F9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color w:val="1F2937"/>
                <w:sz w:val="15"/>
                <w:szCs w:val="15"/>
              </w:rPr>
              <w:t xml:space="preserve">86.8031° / 133.4</w:t>
            </w:r>
          </w:p>
        </w:tc>
        <w:tc>
          <w:tcPr>
            <w:tcW w:type="dxa" w:w="200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F7F9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color w:val="1F2937"/>
                <w:sz w:val="15"/>
                <w:szCs w:val="15"/>
              </w:rPr>
              <w:t xml:space="preserve">24.29 / 0.3</w:t>
            </w:r>
          </w:p>
        </w:tc>
        <w:tc>
          <w:tcPr>
            <w:tcW w:type="dxa" w:w="250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F7F9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color w:val="1F2937"/>
                <w:sz w:val="15"/>
                <w:szCs w:val="15"/>
              </w:rPr>
              <w:t xml:space="preserve">27.804699—30.702139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color w:val="1F2937"/>
                <w:sz w:val="15"/>
                <w:szCs w:val="15"/>
              </w:rPr>
              <w:t xml:space="preserve">FY4</w:t>
            </w:r>
          </w:p>
        </w:tc>
        <w:tc>
          <w:tcPr>
            <w:tcW w:type="dxa" w:w="65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color w:val="1F2937"/>
                <w:sz w:val="15"/>
                <w:szCs w:val="15"/>
              </w:rPr>
              <w:t xml:space="preserve">M2</w:t>
            </w:r>
          </w:p>
        </w:tc>
        <w:tc>
          <w:tcPr>
            <w:tcW w:type="dxa" w:w="60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color w:val="1F2937"/>
                <w:sz w:val="15"/>
                <w:szCs w:val="15"/>
              </w:rPr>
              <w:t xml:space="preserve">1</w:t>
            </w:r>
          </w:p>
        </w:tc>
        <w:tc>
          <w:tcPr>
            <w:tcW w:type="dxa" w:w="190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color w:val="1F2937"/>
                <w:sz w:val="15"/>
                <w:szCs w:val="15"/>
              </w:rPr>
              <w:t xml:space="preserve">237.6056° / 81.6</w:t>
            </w:r>
          </w:p>
        </w:tc>
        <w:tc>
          <w:tcPr>
            <w:tcW w:type="dxa" w:w="200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color w:val="1F2937"/>
                <w:sz w:val="15"/>
                <w:szCs w:val="15"/>
              </w:rPr>
              <w:t xml:space="preserve">12.54 / 11.86</w:t>
            </w:r>
          </w:p>
        </w:tc>
        <w:tc>
          <w:tcPr>
            <w:tcW w:type="dxa" w:w="250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color w:val="1F2937"/>
                <w:sz w:val="15"/>
                <w:szCs w:val="15"/>
              </w:rPr>
              <w:t xml:space="preserve">27.854471—30.445371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F7F9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color w:val="1F2937"/>
                <w:sz w:val="15"/>
                <w:szCs w:val="15"/>
              </w:rPr>
              <w:t xml:space="preserve">FY5</w:t>
            </w:r>
          </w:p>
        </w:tc>
        <w:tc>
          <w:tcPr>
            <w:tcW w:type="dxa" w:w="65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F7F9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color w:val="1F2937"/>
                <w:sz w:val="15"/>
                <w:szCs w:val="15"/>
              </w:rPr>
              <w:t xml:space="preserve">M3</w:t>
            </w:r>
          </w:p>
        </w:tc>
        <w:tc>
          <w:tcPr>
            <w:tcW w:type="dxa" w:w="60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F7F9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color w:val="1F2937"/>
                <w:sz w:val="15"/>
                <w:szCs w:val="15"/>
              </w:rPr>
              <w:t xml:space="preserve">1</w:t>
            </w:r>
          </w:p>
        </w:tc>
        <w:tc>
          <w:tcPr>
            <w:tcW w:type="dxa" w:w="190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F7F9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color w:val="1F2937"/>
                <w:sz w:val="15"/>
                <w:szCs w:val="15"/>
              </w:rPr>
              <w:t xml:space="preserve">116.3775° / 140</w:t>
            </w:r>
          </w:p>
        </w:tc>
        <w:tc>
          <w:tcPr>
            <w:tcW w:type="dxa" w:w="200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F7F9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color w:val="1F2937"/>
                <w:sz w:val="15"/>
                <w:szCs w:val="15"/>
              </w:rPr>
              <w:t xml:space="preserve">11.808152 / 1.040372</w:t>
            </w:r>
          </w:p>
        </w:tc>
        <w:tc>
          <w:tcPr>
            <w:tcW w:type="dxa" w:w="250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F7F9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color w:val="1F2937"/>
                <w:sz w:val="15"/>
                <w:szCs w:val="15"/>
              </w:rPr>
              <w:t xml:space="preserve">13.373007—17.094580</w:t>
            </w:r>
          </w:p>
        </w:tc>
      </w:tr>
    </w:tbl>
    <w:p>
      <w:pPr>
        <w:pBdr>
          <w:left w:val="single" w:color="C2410C" w:sz="20" w:space="8"/>
        </w:pBdr>
        <w:shd w:fill="FFF3E8" w:val="clear"/>
        <w:spacing w:after="130" w:before="100" w:line="320"/>
        <w:ind w:left="160" w:right="100"/>
      </w:pPr>
      <w:r>
        <w:rPr>
          <w:rFonts w:ascii="Times New Roman" w:eastAsia="微软雅黑" w:hAnsi="Times New Roman"/>
          <w:b/>
          <w:bCs/>
          <w:color w:val="9A3412"/>
          <w:sz w:val="20"/>
          <w:szCs w:val="20"/>
        </w:rPr>
        <w:t xml:space="preserve">边际贡献说明  </w:t>
      </w:r>
      <w:r>
        <w:rPr>
          <w:rFonts w:ascii="Times New Roman" w:eastAsia="宋体" w:hAnsi="Times New Roman"/>
          <w:color w:val="1F2937"/>
          <w:sz w:val="20"/>
          <w:szCs w:val="20"/>
        </w:rPr>
        <w:t xml:space="preserve">FY4→M2 的单弹区间被 FY3→M2 的区间完全包含，对当前时间并集几乎没有边际增量。它可以作为冗余备份保留，也可以在不改变当前目标值的情况下从方案中删去。下一轮优化应优先把 FY4 移到未覆盖时间窗。</w:t>
      </w:r>
    </w:p>
    <w:p>
      <w:pPr>
        <w:spacing w:after="30" w:before="100"/>
        <w:jc w:val="center"/>
      </w:pPr>
      <w:r>
        <w:drawing>
          <wp:inline distT="0" distB="0" distL="0" distR="0">
            <wp:extent cx="5715000" cy="3695700"/>
            <wp:effectExtent t="0" r="0" b="0" l="0"/>
            <wp:docPr id="1" name="q5_timeline.png" descr="烟幕遮蔽时间轴" title="q5_timelin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60"/>
        <w:jc w:val="center"/>
      </w:pPr>
      <w:r>
        <w:rPr>
          <w:rFonts w:ascii="Times New Roman" w:eastAsia="楷体" w:hAnsi="Times New Roman"/>
          <w:i/>
          <w:iCs/>
          <w:color w:val="6B7280"/>
          <w:sz w:val="18"/>
          <w:szCs w:val="18"/>
        </w:rPr>
        <w:t xml:space="preserve">图 3  问题 5 三枚导弹严格遮蔽时间轴</w:t>
      </w:r>
    </w:p>
    <w:p>
      <w:pPr>
        <w:pBdr>
          <w:left w:val="single" w:color="C2410C" w:sz="20" w:space="8"/>
        </w:pBdr>
        <w:shd w:fill="FFF3E8" w:val="clear"/>
        <w:spacing w:after="130" w:before="100" w:line="320"/>
        <w:ind w:left="160" w:right="100"/>
      </w:pPr>
      <w:r>
        <w:rPr>
          <w:rFonts w:ascii="Times New Roman" w:eastAsia="微软雅黑" w:hAnsi="Times New Roman"/>
          <w:b/>
          <w:bCs/>
          <w:color w:val="9A3412"/>
          <w:sz w:val="20"/>
          <w:szCs w:val="20"/>
        </w:rPr>
        <w:t xml:space="preserve">Q5 统计口径  </w:t>
      </w:r>
      <w:r>
        <w:rPr>
          <w:rFonts w:ascii="Times New Roman" w:eastAsia="宋体" w:hAnsi="Times New Roman"/>
          <w:color w:val="1F2937"/>
          <w:sz w:val="20"/>
          <w:szCs w:val="20"/>
        </w:rPr>
        <w:t xml:space="preserve">当前 22.053083 s 是三个分导弹并集时长之和，不是“三枚导弹同时被遮蔽”的共同时间。若采用优秀论文式 (10.3) 的同时遮蔽定义，应把目标改为 E_M1∩E_M2∩E_M3 并重新优化，两个数值不能直接比较。</w:t>
      </w:r>
    </w:p>
    <w:p>
      <w:pPr>
        <w:pStyle w:val="Heading1"/>
        <w:keepNext/>
      </w:pPr>
      <w:r>
        <w:rPr>
          <w:rFonts w:ascii="Times New Roman" w:eastAsia="微软雅黑" w:hAnsi="Times New Roman"/>
          <w:b/>
          <w:bCs/>
          <w:color w:val="2E75B6"/>
        </w:rPr>
        <w:t xml:space="preserve">程序组织、复现与验算</w:t>
      </w:r>
    </w:p>
    <w:p>
      <w:pPr>
        <w:spacing w:after="120" w:before="60"/>
        <w:jc w:val="center"/>
      </w:pPr>
      <w:r>
        <w:rPr>
          <w:rFonts w:ascii="Times New Roman" w:eastAsia="楷体" w:hAnsi="Times New Roman"/>
          <w:i/>
          <w:iCs/>
          <w:color w:val="6B7280"/>
          <w:sz w:val="18"/>
          <w:szCs w:val="18"/>
        </w:rPr>
        <w:t xml:space="preserve">表 6  本地成果目录与功能</w:t>
      </w:r>
    </w:p>
    <w:tbl>
      <w:tblPr>
        <w:tblW w:type="dxa" w:w="88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00"/>
        <w:gridCol w:w="3300"/>
        <w:gridCol w:w="3300"/>
      </w:tblGrid>
      <w:tr>
        <w:trPr>
          <w:cantSplit/>
          <w:tblHeader/>
        </w:trPr>
        <w:tc>
          <w:tcPr>
            <w:tcW w:type="dxa" w:w="220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微软雅黑" w:hAnsi="Times New Roman"/>
                <w:b/>
                <w:bCs/>
                <w:color w:val="1F2937"/>
                <w:sz w:val="18"/>
                <w:szCs w:val="18"/>
              </w:rPr>
              <w:t xml:space="preserve">目录/文件</w:t>
            </w:r>
          </w:p>
        </w:tc>
        <w:tc>
          <w:tcPr>
            <w:tcW w:type="dxa" w:w="330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微软雅黑" w:hAnsi="Times New Roman"/>
                <w:b/>
                <w:bCs/>
                <w:color w:val="1F2937"/>
                <w:sz w:val="18"/>
                <w:szCs w:val="18"/>
              </w:rPr>
              <w:t xml:space="preserve">作用</w:t>
            </w:r>
          </w:p>
        </w:tc>
        <w:tc>
          <w:tcPr>
            <w:tcW w:type="dxa" w:w="330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微软雅黑" w:hAnsi="Times New Roman"/>
                <w:b/>
                <w:bCs/>
                <w:color w:val="1F2937"/>
                <w:sz w:val="18"/>
                <w:szCs w:val="18"/>
              </w:rPr>
              <w:t xml:space="preserve">关键输出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color w:val="1F2937"/>
                <w:sz w:val="17"/>
                <w:szCs w:val="17"/>
              </w:rPr>
              <w:t xml:space="preserve">第1第2问求解</w:t>
            </w:r>
          </w:p>
        </w:tc>
        <w:tc>
          <w:tcPr>
            <w:tcW w:type="dxa" w:w="330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color w:val="1F2937"/>
                <w:sz w:val="17"/>
                <w:szCs w:val="17"/>
              </w:rPr>
              <w:t xml:space="preserve">固定策略严格复算、单弹优化</w:t>
            </w:r>
          </w:p>
        </w:tc>
        <w:tc>
          <w:tcPr>
            <w:tcW w:type="dxa" w:w="330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color w:val="1F2937"/>
                <w:sz w:val="17"/>
                <w:szCs w:val="17"/>
              </w:rPr>
              <w:t xml:space="preserve">Q1=1.391643；Q2=4.542879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F7F9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color w:val="1F2937"/>
                <w:sz w:val="17"/>
                <w:szCs w:val="17"/>
              </w:rPr>
              <w:t xml:space="preserve">第3问求解</w:t>
            </w:r>
          </w:p>
        </w:tc>
        <w:tc>
          <w:tcPr>
            <w:tcW w:type="dxa" w:w="330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F7F9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color w:val="1F2937"/>
                <w:sz w:val="17"/>
                <w:szCs w:val="17"/>
              </w:rPr>
              <w:t xml:space="preserve">同机三弹、连续圆周与表面协同</w:t>
            </w:r>
          </w:p>
        </w:tc>
        <w:tc>
          <w:tcPr>
            <w:tcW w:type="dxa" w:w="330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F7F9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color w:val="1F2937"/>
                <w:sz w:val="17"/>
                <w:szCs w:val="17"/>
              </w:rPr>
              <w:t xml:space="preserve">result1.xlsx；7.619038 s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color w:val="1F2937"/>
                <w:sz w:val="17"/>
                <w:szCs w:val="17"/>
              </w:rPr>
              <w:t xml:space="preserve">第4问求解</w:t>
            </w:r>
          </w:p>
        </w:tc>
        <w:tc>
          <w:tcPr>
            <w:tcW w:type="dxa" w:w="330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color w:val="1F2937"/>
                <w:sz w:val="17"/>
                <w:szCs w:val="17"/>
              </w:rPr>
              <w:t xml:space="preserve">三机各一弹与错峰调度</w:t>
            </w:r>
          </w:p>
        </w:tc>
        <w:tc>
          <w:tcPr>
            <w:tcW w:type="dxa" w:w="330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color w:val="1F2937"/>
                <w:sz w:val="17"/>
                <w:szCs w:val="17"/>
              </w:rPr>
              <w:t xml:space="preserve">result2.xlsx；11.141794 s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F7F9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color w:val="1F2937"/>
                <w:sz w:val="17"/>
                <w:szCs w:val="17"/>
              </w:rPr>
              <w:t xml:space="preserve">第5问求解</w:t>
            </w:r>
          </w:p>
        </w:tc>
        <w:tc>
          <w:tcPr>
            <w:tcW w:type="dxa" w:w="330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F7F9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color w:val="1F2937"/>
                <w:sz w:val="17"/>
                <w:szCs w:val="17"/>
              </w:rPr>
              <w:t xml:space="preserve">多导弹、配对探针、断点优化</w:t>
            </w:r>
          </w:p>
        </w:tc>
        <w:tc>
          <w:tcPr>
            <w:tcW w:type="dxa" w:w="330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F7F9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color w:val="1F2937"/>
                <w:sz w:val="17"/>
                <w:szCs w:val="17"/>
              </w:rPr>
              <w:t xml:space="preserve">result3.xlsx；22.053083 s（求和口径）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color w:val="1F2937"/>
                <w:sz w:val="17"/>
                <w:szCs w:val="17"/>
              </w:rPr>
              <w:t xml:space="preserve">smoke_strict_core.py</w:t>
            </w:r>
          </w:p>
        </w:tc>
        <w:tc>
          <w:tcPr>
            <w:tcW w:type="dxa" w:w="330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color w:val="1F2937"/>
                <w:sz w:val="17"/>
                <w:szCs w:val="17"/>
              </w:rPr>
              <w:t xml:space="preserve">共享三导弹几何、区间合并、协同复核</w:t>
            </w:r>
          </w:p>
        </w:tc>
        <w:tc>
          <w:tcPr>
            <w:tcW w:type="dxa" w:w="330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color w:val="1F2937"/>
                <w:sz w:val="17"/>
                <w:szCs w:val="17"/>
              </w:rPr>
              <w:t xml:space="preserve">Q3—Q5 共用严格核心</w:t>
            </w:r>
          </w:p>
        </w:tc>
      </w:tr>
    </w:tbl>
    <w:p>
      <w:pPr>
        <w:pStyle w:val="Heading2"/>
        <w:keepNext/>
      </w:pPr>
      <w:r>
        <w:rPr>
          <w:rFonts w:ascii="Times New Roman" w:eastAsia="微软雅黑" w:hAnsi="Times New Roman"/>
          <w:b/>
          <w:bCs/>
          <w:color w:val="2E75B6"/>
        </w:rPr>
        <w:t xml:space="preserve">最终复核清单</w:t>
      </w:r>
    </w:p>
    <w:p>
      <w:pPr>
        <w:pStyle w:val="ListParagraph"/>
        <w:numPr>
          <w:ilvl w:val="0"/>
          <w:numId w:val="2"/>
        </w:numPr>
        <w:spacing w:after="70" w:line="320"/>
      </w:pPr>
      <w:r>
        <w:rPr>
          <w:rFonts w:ascii="Times New Roman" w:eastAsia="宋体" w:hAnsi="Times New Roman"/>
          <w:color w:val="1F2937"/>
          <w:sz w:val="20"/>
          <w:szCs w:val="20"/>
        </w:rPr>
        <w:t xml:space="preserve">物理约束：70≤v≤140；投放/引信非负；起爆高度不低于 0；起爆早于对应导弹命中。</w:t>
      </w:r>
    </w:p>
    <w:p>
      <w:pPr>
        <w:pStyle w:val="ListParagraph"/>
        <w:numPr>
          <w:ilvl w:val="0"/>
          <w:numId w:val="2"/>
        </w:numPr>
        <w:spacing w:after="70" w:line="320"/>
      </w:pPr>
      <w:r>
        <w:rPr>
          <w:rFonts w:ascii="Times New Roman" w:eastAsia="宋体" w:hAnsi="Times New Roman"/>
          <w:color w:val="1F2937"/>
          <w:sz w:val="20"/>
          <w:szCs w:val="20"/>
        </w:rPr>
        <w:t xml:space="preserve">同机约束：至多 3 枚；共享同一航向与速度；相邻投弹间隔不少于 1 s。</w:t>
      </w:r>
    </w:p>
    <w:p>
      <w:pPr>
        <w:pStyle w:val="ListParagraph"/>
        <w:numPr>
          <w:ilvl w:val="0"/>
          <w:numId w:val="2"/>
        </w:numPr>
        <w:spacing w:after="70" w:line="320"/>
      </w:pPr>
      <w:r>
        <w:rPr>
          <w:rFonts w:ascii="Times New Roman" w:eastAsia="宋体" w:hAnsi="Times New Roman"/>
          <w:color w:val="1F2937"/>
          <w:sz w:val="20"/>
          <w:szCs w:val="20"/>
        </w:rPr>
        <w:t xml:space="preserve">几何收敛：时间步长、圆周角度网格和完整表面网格逐级加密，边界用连续极值与根求解。</w:t>
      </w:r>
    </w:p>
    <w:p>
      <w:pPr>
        <w:pStyle w:val="ListParagraph"/>
        <w:numPr>
          <w:ilvl w:val="0"/>
          <w:numId w:val="2"/>
        </w:numPr>
        <w:spacing w:after="70" w:line="320"/>
      </w:pPr>
      <w:r>
        <w:rPr>
          <w:rFonts w:ascii="Times New Roman" w:eastAsia="宋体" w:hAnsi="Times New Roman"/>
          <w:color w:val="1F2937"/>
          <w:sz w:val="20"/>
          <w:szCs w:val="20"/>
        </w:rPr>
        <w:t xml:space="preserve">输出一致性：JSON 独立复算，逐行核对 result1/result2/result3.xlsx，检查公式错误和模板映射。</w:t>
      </w:r>
    </w:p>
    <w:p>
      <w:pPr>
        <w:pStyle w:val="ListParagraph"/>
        <w:numPr>
          <w:ilvl w:val="0"/>
          <w:numId w:val="2"/>
        </w:numPr>
        <w:spacing w:after="70" w:line="320"/>
      </w:pPr>
      <w:r>
        <w:rPr>
          <w:rFonts w:ascii="Times New Roman" w:eastAsia="宋体" w:hAnsi="Times New Roman"/>
          <w:color w:val="1F2937"/>
          <w:sz w:val="20"/>
          <w:szCs w:val="20"/>
        </w:rPr>
        <w:t xml:space="preserve">报告口径：Q2 标为数值近优；Q4 同时报告主方案与全局验证差异；Q5 明确写出求和或共同时间定义。</w:t>
      </w:r>
    </w:p>
    <w:p>
      <w:pPr>
        <w:keepLines/>
        <w:spacing w:after="100" w:before="120" w:line="340"/>
        <w:ind w:firstLine="420"/>
        <w:jc w:val="both"/>
      </w:pPr>
      <w:r>
        <w:rPr>
          <w:rFonts w:ascii="Times New Roman" w:eastAsia="宋体" w:hAnsi="Times New Roman"/>
          <w:b/>
          <w:bCs/>
          <w:i w:val="false"/>
          <w:iCs w:val="false"/>
          <w:color w:val="0B2748"/>
          <w:sz w:val="21"/>
          <w:szCs w:val="21"/>
        </w:rPr>
        <w:t xml:space="preserve">建议论文主文采用严格圆柱全遮蔽口径，把中心点模型仅作为灵敏度或速度对照。数值结果保留 6 位小数时，应由高精度内部值统一舍入，避免从 Excel 显示值反推计算。</w:t>
      </w:r>
    </w:p>
    <w:sectPr>
      <w:headerReference w:type="default" r:id="rId7"/>
      <w:footerReference w:type="default" r:id="rId8"/>
      <w:type w:val="nextPage"/>
      <w:pgSz w:w="11906" w:h="16838" w:orient="portrait"/>
      <w:pgMar w:top="1134" w:right="1134" w:bottom="1134" w:left="1134" w:header="650" w:footer="650" w:gutter="0"/>
      <w:pgNumType w:start="2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Times New Roman" w:eastAsia="宋体" w:hAnsi="Times New Roman"/>
        <w:color w:val="6B7280"/>
        <w:sz w:val="17"/>
        <w:szCs w:val="17"/>
      </w:rPr>
      <w:t xml:space="preserve">第 </w:t>
    </w:r>
    <w:r>
      <w:rPr>
        <w:rFonts w:ascii="Times New Roman" w:eastAsia="宋体" w:hAnsi="Times New Roman"/>
        <w:color w:val="6B7280"/>
        <w:sz w:val="17"/>
        <w:szCs w:val="17"/>
      </w:rPr>
      <w:fldChar w:fldCharType="begin"/>
      <w:instrText xml:space="preserve">PAGE</w:instrText>
      <w:fldChar w:fldCharType="separate"/>
      <w:fldChar w:fldCharType="end"/>
    </w:r>
    <w:r>
      <w:rPr>
        <w:rFonts w:ascii="Times New Roman" w:eastAsia="宋体" w:hAnsi="Times New Roman"/>
        <w:color w:val="6B7280"/>
        <w:sz w:val="17"/>
        <w:szCs w:val="17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8" w:space="3"/>
      </w:pBdr>
      <w:spacing w:after="0"/>
    </w:pPr>
    <w:r>
      <w:rPr>
        <w:rFonts w:ascii="Times New Roman" w:eastAsia="微软雅黑" w:hAnsi="Times New Roman"/>
        <w:color w:val="6B7280"/>
        <w:sz w:val="17"/>
        <w:szCs w:val="17"/>
      </w:rPr>
      <w:t xml:space="preserve">2025 A 题“烟幕干扰弹的投放策略”独立建模策略｜技术方案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20" w:hanging="300"/>
      </w:pPr>
    </w:lvl>
    <w:lvl w:ilvl="1" w15:tentative="1">
      <w:start w:val="1"/>
      <w:numFmt w:val="bullet"/>
      <w:lvlText w:val="○"/>
      <w:lvlJc w:val="left"/>
      <w:pPr>
        <w:ind w:left="104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/>
        <w:color w:val="1F2937"/>
        <w:sz w:val="21"/>
        <w:szCs w:val="21"/>
      </w:rPr>
    </w:rPrDefault>
    <w:pPrDefault>
      <w:pPr>
        <w:spacing w:after="100" w:line="34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50" w:before="260"/>
      <w:outlineLvl w:val="0"/>
    </w:pPr>
    <w:rPr>
      <w:rFonts w:ascii="Times New Roman" w:eastAsia="微软雅黑" w:hAnsi="Times New Roman"/>
      <w:b/>
      <w:bCs/>
      <w:color w:val="2E75B6"/>
      <w:sz w:val="31"/>
      <w:szCs w:val="31"/>
    </w:rPr>
  </w:style>
  <w:style w:type="paragraph" w:styleId="Heading2">
    <w:name w:val="Heading 2"/>
    <w:basedOn w:val="Normal"/>
    <w:next w:val="Normal"/>
    <w:qFormat/>
    <w:pPr>
      <w:keepNext/>
      <w:spacing w:after="110" w:before="190"/>
      <w:outlineLvl w:val="1"/>
    </w:pPr>
    <w:rPr>
      <w:rFonts w:ascii="Times New Roman" w:eastAsia="微软雅黑" w:hAnsi="Times New Roman"/>
      <w:b/>
      <w:bCs/>
      <w:color w:val="2E75B6"/>
      <w:sz w:val="25"/>
      <w:szCs w:val="25"/>
    </w:rPr>
  </w:style>
  <w:style w:type="paragraph" w:styleId="Heading3">
    <w:name w:val="Heading 3"/>
    <w:basedOn w:val="Normal"/>
    <w:next w:val="Normal"/>
    <w:qFormat/>
    <w:pPr>
      <w:keepNext/>
      <w:spacing w:after="90" w:before="150"/>
      <w:outlineLvl w:val="2"/>
    </w:pPr>
    <w:rPr>
      <w:rFonts w:ascii="Times New Roman" w:eastAsia="微软雅黑" w:hAnsi="Times New Roman"/>
      <w:b/>
      <w:bCs/>
      <w:color w:val="2E75B6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4a66c3d899450fa412facca0b71cf66817988ad6.png"/><Relationship Id="rId10" Type="http://schemas.openxmlformats.org/officeDocument/2006/relationships/image" Target="media/7505e9552308daa6ef870dfbd930c29cbcee6ea1.png"/><Relationship Id="rId11" Type="http://schemas.openxmlformats.org/officeDocument/2006/relationships/image" Target="media/cdc232a8754392ee332bfc084ef8735e20ef0e41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2025A 独立建模技术方案</dc:title>
  <dc:creator>Codex</dc:creator>
  <dc:description>烟幕干扰弹的投放策略：问题1至问题5统一方案</dc:description>
  <cp:lastModifiedBy>Un-named</cp:lastModifiedBy>
  <cp:revision>1</cp:revision>
  <dcterms:created xsi:type="dcterms:W3CDTF">2026-08-22T18:41:10.677Z</dcterms:created>
  <dcterms:modified xsi:type="dcterms:W3CDTF">2026-08-22T18:41:10.679Z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