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120" w:after="360" w:line="300" w:lineRule="auto"/>
        <w:jc w:val="center"/>
      </w:pPr>
      <w:r>
        <w:rPr>
          <w:rFonts w:ascii="Calibri" w:hAnsi="Calibri" w:eastAsia="Microsoft YaHei"/>
          <w:b/>
          <w:i w:val="0"/>
          <w:color w:val="D6A442"/>
          <w:sz w:val="22"/>
        </w:rPr>
        <w:t>数学建模详细求解报告</w:t>
      </w:r>
    </w:p>
    <w:p>
      <w:pPr>
        <w:keepNext w:val="0"/>
        <w:spacing w:before="0" w:after="240" w:line="300" w:lineRule="auto"/>
        <w:jc w:val="center"/>
      </w:pPr>
      <w:r>
        <w:rPr>
          <w:rFonts w:ascii="Calibri" w:hAnsi="Calibri" w:eastAsia="Microsoft YaHei"/>
          <w:b/>
          <w:i w:val="0"/>
          <w:color w:val="1F4D78"/>
          <w:sz w:val="56"/>
        </w:rPr>
        <w:t>问题3</w:t>
        <w:br/>
        <w:t>多目标放热控制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计算结论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严格继承问题1参数后，零流量在4 h内的最低顶部温度仅373.800℃，违反500℃下限126.200℃。此外，总需求为81.5 MWh，而初始相对290℃的可用显热仅80.582 GJ（22.384 MWh）。因此原问题不存在可行控制策略，也不存在由可行解构成的Pareto前沿。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4"/>
        </w:rPr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Calibri" w:hAnsi="Calibri" w:eastAsia="Microsoft YaHei"/>
          <w:color w:val="1F2933"/>
          <w:sz w:val="21"/>
        </w:rPr>
        <w:fldChar w:fldCharType="begin"/>
        <w:instrText xml:space="preserve"> TOC \o "1-3" \h \z \u </w:instrText>
        <w:fldChar w:fldCharType="separate"/>
        <w:t>打开Word后按Ctrl+A、F9更新目录</w:t>
        <w:fldChar w:fldCharType="end"/>
      </w:r>
    </w:p>
    <w:p>
      <w:r>
        <w:br w:type="page"/>
      </w:r>
    </w:p>
    <w:p>
      <w:pPr>
        <w:pStyle w:val="Heading1"/>
      </w:pPr>
      <w:r>
        <w:t>1 任务离散与变量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将4 h等分为48个5 min时段。第k段质量流量q_k在段内保持常数，满足0≤q_k≤100 kg/s及|q_k-q_{k-1}|≤20 kg/s。连续时间硬约束为min_{0≤t≤4h}T1(t)≥500℃。需求序列12、18、25、32、28、22、16、10 MW各持续30 min。</w:t>
      </w:r>
    </w:p>
    <w:p>
      <w:pPr>
        <w:pStyle w:val="Heading1"/>
      </w:pPr>
      <w:r>
        <w:t>2 状态方程与功率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放热流向为底进顶出。五层逐层方程与问题2一致；控制变化只改变对流系数。计算中每段用60 s四阶Runge–Kutta子步优化，并用10 s子步复算所有候选方案。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P_th(t)=q_k c_p[T_1(t)-T_in]/10^6  (MW)</w:t>
      </w:r>
      <w:r>
        <w:rPr>
          <w:rFonts w:ascii="Cambria Math" w:hAnsi="Cambria Math" w:eastAsia="Microsoft YaHei"/>
          <w:color w:val="667085"/>
          <w:sz w:val="21"/>
        </w:rPr>
        <w:t xml:space="preserve">    (1)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P_p(t)=1.6×10^{-4}q_k^3  (kW)</w:t>
      </w:r>
      <w:r>
        <w:rPr>
          <w:rFonts w:ascii="Cambria Math" w:hAnsi="Cambria Math" w:eastAsia="Microsoft YaHei"/>
          <w:color w:val="667085"/>
          <w:sz w:val="21"/>
        </w:rPr>
        <w:t xml:space="preserve">    (2)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J_1={1/N Σ_i[P_th(t_i)-P_dem(t_i)]^2}^{1/2}</w:t>
      </w:r>
      <w:r>
        <w:rPr>
          <w:rFonts w:ascii="Cambria Math" w:hAnsi="Cambria Math" w:eastAsia="Microsoft YaHei"/>
          <w:color w:val="667085"/>
          <w:sz w:val="21"/>
        </w:rPr>
        <w:t xml:space="preserve">    (3)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J_2=Σ_i P_p(t_i)Δt/3600  (kWh)</w:t>
      </w:r>
      <w:r>
        <w:rPr>
          <w:rFonts w:ascii="Cambria Math" w:hAnsi="Cambria Math" w:eastAsia="Microsoft YaHei"/>
          <w:color w:val="667085"/>
          <w:sz w:val="21"/>
        </w:rPr>
        <w:t xml:space="preserve">    (4)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加权和使用J1/25与J2/1500归一化，权重0.7/0.3；温度和爬坡违反量以二次罚函数加入。归一化常数固定，保证算法横向比较不因单位尺度改变。</w:t>
      </w:r>
    </w:p>
    <w:p>
      <w:pPr>
        <w:pStyle w:val="Heading1"/>
      </w:pPr>
      <w:r>
        <w:t>3 两个独立不可行性证书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证书一（动态边界）：q_k≡0没有冷盐对流扰动，是检验顶部温度下限的必要边界情形。10 s网格计算得到min T1=373.800431℃，已小于500℃。正流量会使更冷的下层盐向顶部迁移，数值扫描也未发现温度裕量改善。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证书二（能量上界）：总质量为5m，初温算术平均为480℃。忽略环境损失并允许盐温降至入口温度290℃，初始可用显热E0=5mc_p(480-290)=80.581852 GJ=22.383848 MWh；需求积分为81.5 MWh，能量缺口至少59.116 MWh。该上界已经对系统最有利，散热只会扩大缺口。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emperatu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667085"/>
          <w:sz w:val="18"/>
        </w:rPr>
        <w:t>图1  诊断方案五层温度与500℃硬约束</w:t>
      </w:r>
    </w:p>
    <w:p>
      <w:pPr>
        <w:pStyle w:val="Heading1"/>
      </w:pPr>
      <w:r>
        <w:t>4 三类算法的实际运行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尽管硬约束可行域为空，仍按要求运行三类方法并保留违反量：分段需求反演作为MPC式启发策略；SLSQP优化归一化加权和；带非支配筛选、精英保留和高斯变异的NSGA-II结构进化算法。随机种子为202603、202604、202605。</w:t>
      </w:r>
    </w:p>
    <w:tbl>
      <w:tblPr>
        <w:tblStyle w:val="TableGrid"/>
        <w:tblW w:type="dxa" w:w="943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1080"/>
        <w:gridCol w:w="1512"/>
        <w:gridCol w:w="1656"/>
        <w:gridCol w:w="1512"/>
        <w:gridCol w:w="1440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算法</w:t>
            </w:r>
          </w:p>
        </w:tc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种子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RMSE/MW</w:t>
            </w:r>
          </w:p>
        </w:tc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泵耗/kWh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最低T1/℃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违反/℃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加权和-SLSQP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202603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21.625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0.00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373.80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126.20</w:t>
            </w:r>
          </w:p>
        </w:tc>
      </w:tr>
      <w:tr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多目标进化(NSGA-II结构)</w:t>
            </w:r>
          </w:p>
        </w:tc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202603</w:t>
            </w:r>
          </w:p>
        </w:tc>
        <w:tc>
          <w:tcPr>
            <w:tcW w:type="dxa" w:w="15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20.516</w:t>
            </w:r>
          </w:p>
        </w:tc>
        <w:tc>
          <w:tcPr>
            <w:tcW w:type="dxa" w:w="16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478.59</w:t>
            </w:r>
          </w:p>
        </w:tc>
        <w:tc>
          <w:tcPr>
            <w:tcW w:type="dxa" w:w="15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274.23</w:t>
            </w:r>
          </w:p>
        </w:tc>
        <w:tc>
          <w:tcPr>
            <w:tcW w:type="dxa" w:w="14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225.77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加权和-SLSQP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202604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21.625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0.00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373.80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126.20</w:t>
            </w:r>
          </w:p>
        </w:tc>
      </w:tr>
      <w:tr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多目标进化(NSGA-II结构)</w:t>
            </w:r>
          </w:p>
        </w:tc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202604</w:t>
            </w:r>
          </w:p>
        </w:tc>
        <w:tc>
          <w:tcPr>
            <w:tcW w:type="dxa" w:w="15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20.657</w:t>
            </w:r>
          </w:p>
        </w:tc>
        <w:tc>
          <w:tcPr>
            <w:tcW w:type="dxa" w:w="16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477.67</w:t>
            </w:r>
          </w:p>
        </w:tc>
        <w:tc>
          <w:tcPr>
            <w:tcW w:type="dxa" w:w="15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274.39</w:t>
            </w:r>
          </w:p>
        </w:tc>
        <w:tc>
          <w:tcPr>
            <w:tcW w:type="dxa" w:w="14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225.61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加权和-SLSQP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202605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21.625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0.00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373.80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126.20</w:t>
            </w:r>
          </w:p>
        </w:tc>
      </w:tr>
      <w:tr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多目标进化(NSGA-II结构)</w:t>
            </w:r>
          </w:p>
        </w:tc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202605</w:t>
            </w:r>
          </w:p>
        </w:tc>
        <w:tc>
          <w:tcPr>
            <w:tcW w:type="dxa" w:w="15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20.212</w:t>
            </w:r>
          </w:p>
        </w:tc>
        <w:tc>
          <w:tcPr>
            <w:tcW w:type="dxa" w:w="16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400.35</w:t>
            </w:r>
          </w:p>
        </w:tc>
        <w:tc>
          <w:tcPr>
            <w:tcW w:type="dxa" w:w="15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274.26</w:t>
            </w:r>
          </w:p>
        </w:tc>
        <w:tc>
          <w:tcPr>
            <w:tcW w:type="dxa" w:w="14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225.74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表中success为False或温度违反量大于0均表示不可行。SLSQP与进化算法均实际完成目标评价；由于不存在可行点，停止条件只能对应罚函数或诊断目标收敛，不能解释为原问题求解成功。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5563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iagnostic_pare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56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667085"/>
          <w:sz w:val="18"/>
        </w:rPr>
        <w:t>图2  诊断多目标点集（颜色为温度裕量，全部不可行）</w:t>
      </w:r>
    </w:p>
    <w:p>
      <w:pPr>
        <w:pStyle w:val="Heading1"/>
      </w:pPr>
      <w:r>
        <w:t>5 代表性诊断方案</w:t>
      </w:r>
    </w:p>
    <w:tbl>
      <w:tblPr>
        <w:tblStyle w:val="TableGrid"/>
        <w:tblW w:type="dxa" w:w="1000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12"/>
        <w:gridCol w:w="1512"/>
        <w:gridCol w:w="1872"/>
        <w:gridCol w:w="1584"/>
        <w:gridCol w:w="1728"/>
      </w:tblGrid>
      <w:tr>
        <w:trPr>
          <w:tblHeader w:val="true"/>
        </w:trPr>
        <w:tc>
          <w:tcPr>
            <w:tcW w:type="dxa" w:w="33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方案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RMSE/MW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欠供热/MWh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泵耗/kWh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温度裕量/℃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零流量可行性证书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21.625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81.500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0.00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-126.20</w:t>
            </w:r>
          </w:p>
        </w:tc>
      </w:tr>
      <w:tr>
        <w:tc>
          <w:tcPr>
            <w:tcW w:type="dxa" w:w="33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分段需求反演/MPC启发式</w:t>
            </w:r>
          </w:p>
        </w:tc>
        <w:tc>
          <w:tcPr>
            <w:tcW w:type="dxa" w:w="15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20.493</w:t>
            </w:r>
          </w:p>
        </w:tc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68.465</w:t>
            </w:r>
          </w:p>
        </w:tc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519.93</w:t>
            </w:r>
          </w:p>
        </w:tc>
        <w:tc>
          <w:tcPr>
            <w:tcW w:type="dxa" w:w="17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-225.30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加权和-SLSQP(seed=202603)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21.625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81.500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0.00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-126.20</w:t>
            </w:r>
          </w:p>
        </w:tc>
      </w:tr>
      <w:tr>
        <w:tc>
          <w:tcPr>
            <w:tcW w:type="dxa" w:w="33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多目标进化(seed=202603)</w:t>
            </w:r>
          </w:p>
        </w:tc>
        <w:tc>
          <w:tcPr>
            <w:tcW w:type="dxa" w:w="15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20.517</w:t>
            </w:r>
          </w:p>
        </w:tc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69.698</w:t>
            </w:r>
          </w:p>
        </w:tc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478.59</w:t>
            </w:r>
          </w:p>
        </w:tc>
        <w:tc>
          <w:tcPr>
            <w:tcW w:type="dxa" w:w="17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-225.77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加权和-SLSQP(seed=202604)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21.625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81.500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0.00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-126.20</w:t>
            </w:r>
          </w:p>
        </w:tc>
      </w:tr>
      <w:tr>
        <w:tc>
          <w:tcPr>
            <w:tcW w:type="dxa" w:w="33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多目标进化(seed=202604)</w:t>
            </w:r>
          </w:p>
        </w:tc>
        <w:tc>
          <w:tcPr>
            <w:tcW w:type="dxa" w:w="15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20.657</w:t>
            </w:r>
          </w:p>
        </w:tc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69.542</w:t>
            </w:r>
          </w:p>
        </w:tc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477.67</w:t>
            </w:r>
          </w:p>
        </w:tc>
        <w:tc>
          <w:tcPr>
            <w:tcW w:type="dxa" w:w="17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-225.61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加权和-SLSQP(seed=202605)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21.625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81.500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0.00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-126.20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低误差、折中和低泵耗三个标签只能用于观察算法权衡，不能作为正式推荐方案。尤其零流量泵耗最低但温度约束仍失败；跟踪需求的方案则更快耗尽高温层。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ower_trac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667085"/>
          <w:sz w:val="18"/>
        </w:rPr>
        <w:t>图3  需求功率与最佳罚函数诊断方案实际功率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667085"/>
          <w:sz w:val="18"/>
        </w:rPr>
        <w:t>图4  最佳罚函数诊断方案的48段流量</w:t>
      </w:r>
    </w:p>
    <w:p>
      <w:pPr>
        <w:pStyle w:val="Heading1"/>
      </w:pPr>
      <w:r>
        <w:t>6 误差、敏感性与结论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优化时间步长为60 s，交付轨迹以10 s检查段内最低温度和爬坡约束。动态不可行性与能量上界是相互独立的证据：即使K、UA略有扰动使散热变弱，81.5 MWh需求仍远大于22.384 MWh初始显热。要恢复可行性，必须修改至少一项题设，例如显著增大储罐质量、降低需求时长/功率、降低温度下限，或允许外部补热。</w:t>
      </w:r>
    </w:p>
    <w:p>
      <w:pPr>
        <w:pStyle w:val="Heading1"/>
      </w:pPr>
      <w:r>
        <w:t>附录A 复现文件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主程序src/solve_q3.py；配置config/q3_config.json；算法逐次运行、诊断解、10 s轨迹及最终状态位于results；完整日志在logs/run.log。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7"/>
      </w:rPr>
      <w:t xml:space="preserve">问题3详细求解报告 · 第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color w:val="667085"/>
        <w:sz w:val="17"/>
      </w:rPr>
      <w:t>分层熔盐储热系统｜问题3 多目标放热控制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rPr>
      <w:rFonts w:ascii="Cambria Math" w:hAnsi="Cambria Math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问题3多目标放热控制与不可行性诊断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