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2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D6A442"/>
          <w:sz w:val="22"/>
        </w:rPr>
        <w:t>数学建模详细求解报告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56"/>
        </w:rPr>
        <w:t>问题4</w:t>
        <w:br/>
        <w:t>尺寸与运行协同优化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4F7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计算结论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最大允许体积220 m³的初始显热上界为31.35 MWh；末端至少保留20%后，最多可供25.08 MWh，远小于81.50 MWh需求。至少缺少56.42 MWh，故原协同优化无可行解。</w:t>
            </w:r>
          </w:p>
        </w:tc>
      </w:tr>
    </w:tbl>
    <w:p>
      <w:pPr>
        <w:keepNext w:val="0"/>
        <w:spacing w:before="0" w:after="4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4"/>
        </w:rPr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1F2933"/>
          <w:sz w:val="21"/>
        </w:rPr>
        <w:fldChar w:fldCharType="begin"/>
        <w:instrText xml:space="preserve"> TOC \o "1-3" \h \z \u </w:instrText>
        <w:fldChar w:fldCharType="separate"/>
        <w:t>打开Word后按Ctrl+A、F9更新目录</w:t>
        <w:fldChar w:fldCharType="end"/>
      </w:r>
    </w:p>
    <w:p>
      <w:r>
        <w:br w:type="page"/>
      </w:r>
    </w:p>
    <w:p>
      <w:pPr>
        <w:pStyle w:val="Heading1"/>
      </w:pPr>
      <w:r>
        <w:t>1 决策变量与约束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决策向量为(R,H,q1,…,q48)。几何约束为2≤R≤4 m、5≤H≤10 m、πR²H≤220 m³；控制沿用问题3的流量上下界和爬坡约束。运行约束包括顶部温度、需求任务以及末端可用储热比例不低于20%。</w:t>
      </w:r>
    </w:p>
    <w:p>
      <w:pPr>
        <w:pStyle w:val="Heading1"/>
      </w:pPr>
      <w:r>
        <w:t>2 几何参数逐项推导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V=πR^2H,   m_layer=ρπR^2H/5</w:t>
      </w:r>
      <w:r>
        <w:rPr>
          <w:rFonts w:ascii="Cambria Math" w:hAnsi="Cambria Math" w:eastAsia="Microsoft YaHei"/>
          <w:color w:val="667085"/>
          <w:sz w:val="21"/>
        </w:rPr>
        <w:t xml:space="preserve">    (1)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S=2πRH+2πR^2</w:t>
      </w:r>
      <w:r>
        <w:rPr>
          <w:rFonts w:ascii="Cambria Math" w:hAnsi="Cambria Math" w:eastAsia="Microsoft YaHei"/>
          <w:color w:val="667085"/>
          <w:sz w:val="21"/>
        </w:rPr>
        <w:t xml:space="preserve">    (2)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K=k_eff πR^2/(H/5)=5k_eff πR^2/H</w:t>
      </w:r>
      <w:r>
        <w:rPr>
          <w:rFonts w:ascii="Cambria Math" w:hAnsi="Cambria Math" w:eastAsia="Microsoft YaHei"/>
          <w:color w:val="667085"/>
          <w:sz w:val="21"/>
        </w:rPr>
        <w:t xml:space="preserve">    (3)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A_side=2πR(H/5)</w:t>
      </w:r>
      <w:r>
        <w:rPr>
          <w:rFonts w:ascii="Cambria Math" w:hAnsi="Cambria Math" w:eastAsia="Microsoft YaHei"/>
          <w:color w:val="667085"/>
          <w:sz w:val="21"/>
        </w:rPr>
        <w:t xml:space="preserve">    (4)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(UA)_1=(UA)_5=U_s(A_side+πR^2)</w:t>
      </w:r>
      <w:r>
        <w:rPr>
          <w:rFonts w:ascii="Cambria Math" w:hAnsi="Cambria Math" w:eastAsia="Microsoft YaHei"/>
          <w:color w:val="667085"/>
          <w:sz w:val="21"/>
        </w:rPr>
        <w:t xml:space="preserve">    (5)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(UA)_2=(UA)_3=(UA)_4=U_sA_side</w:t>
      </w:r>
      <w:r>
        <w:rPr>
          <w:rFonts w:ascii="Cambria Math" w:hAnsi="Cambria Math" w:eastAsia="Microsoft YaHei"/>
          <w:color w:val="667085"/>
          <w:sz w:val="21"/>
        </w:rPr>
        <w:t xml:space="preserve">    (6)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采用ρ=1800 kg/m³、cp=1500 J/(kg·K)、Us=3.2 W/(m²·K)、keff=95 W/(m·K)。每次几何评价都重新计算五层质量、K以及端层/中间层不同的UA，不沿用问题1的整罐辨识值。</w:t>
      </w:r>
    </w:p>
    <w:p>
      <w:pPr>
        <w:pStyle w:val="Heading1"/>
      </w:pPr>
      <w:r>
        <w:t>3 全局能量不可行性证书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E_0=ρV c_p[(1/5)Σ_iT_i(0)-T_in]</w:t>
      </w:r>
      <w:r>
        <w:rPr>
          <w:rFonts w:ascii="Cambria Math" w:hAnsi="Cambria Math" w:eastAsia="Microsoft YaHei"/>
          <w:color w:val="667085"/>
          <w:sz w:val="21"/>
        </w:rPr>
        <w:t xml:space="preserve">    (7)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/>
          <w:color w:val="111827"/>
          <w:sz w:val="21"/>
        </w:rPr>
        <w:t>E_deliver≤(1-0.2)E_0</w:t>
      </w:r>
      <w:r>
        <w:rPr>
          <w:rFonts w:ascii="Cambria Math" w:hAnsi="Cambria Math" w:eastAsia="Microsoft YaHei"/>
          <w:color w:val="667085"/>
          <w:sz w:val="21"/>
        </w:rPr>
        <w:t xml:space="preserve">    (8)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初温平均480℃，入口290℃。E0随V单调增加，因此V=220 m³给出所有允许几何的全局上界：总质量396000 kg，E0=31.350000 MWh。保留20%后至多供给25.080000 MWh。这里已经忽略环境散热，属于对可行性最有利的估计；真实系统只会提供更少能量。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nergy_certific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图1  需求、最大初始显热与末端约束后的供能上界</w:t>
      </w:r>
    </w:p>
    <w:p>
      <w:pPr>
        <w:pStyle w:val="Heading1"/>
      </w:pPr>
      <w:r>
        <w:t>4 三类算法比较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为核验能量证书并观察最小违反量，实际运行三类算法：25×25外层几何网格配合内层逐段需求反演；三随机种子的差分进化；差分进化后Nelder–Mead局部精修。所有候选均以60 s子步评价，代表诊断方案用10 s复算。</w:t>
      </w:r>
    </w:p>
    <w:tbl>
      <w:tblPr>
        <w:tblStyle w:val="TableGrid"/>
        <w:tblW w:type="dxa" w:w="10195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123"/>
        <w:gridCol w:w="1008"/>
        <w:gridCol w:w="1008"/>
        <w:gridCol w:w="1080"/>
        <w:gridCol w:w="1224"/>
        <w:gridCol w:w="1296"/>
        <w:gridCol w:w="1224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算法</w:t>
            </w:r>
          </w:p>
        </w:tc>
        <w:tc>
          <w:tcPr>
            <w:tcW w:type="dxa" w:w="1123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种子</w:t>
            </w:r>
          </w:p>
        </w:tc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R/m</w:t>
            </w:r>
          </w:p>
        </w:tc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H/m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V/m³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S/m²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RMSE/MW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违反量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嵌套网格+内层控制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deterministic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87.96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差分进化-嵌套控制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202604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2.002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5.003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63.0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88.09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全局搜索+局部精修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202604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88.04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差分进化-嵌套控制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202605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2.000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5.004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62.9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88.04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全局搜索+局部精修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202605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87.96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差分进化-嵌套控制</w:t>
            </w:r>
          </w:p>
        </w:tc>
        <w:tc>
          <w:tcPr>
            <w:tcW w:type="dxa" w:w="1123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202606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2.001</w:t>
            </w:r>
          </w:p>
        </w:tc>
        <w:tc>
          <w:tcPr>
            <w:tcW w:type="dxa" w:w="1008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5.001</w:t>
            </w:r>
          </w:p>
        </w:tc>
        <w:tc>
          <w:tcPr>
            <w:tcW w:type="dxa" w:w="10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62.9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88.01</w:t>
            </w:r>
          </w:p>
        </w:tc>
        <w:tc>
          <w:tcPr>
            <w:tcW w:type="dxa" w:w="1296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全局搜索+局部精修</w:t>
            </w:r>
          </w:p>
        </w:tc>
        <w:tc>
          <w:tcPr>
            <w:tcW w:type="dxa" w:w="1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202606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2.001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5.000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62.9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88.00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20.77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5"/>
              </w:rPr>
              <w:t>210.70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算法收敛到的只能是罚函数意义下的最小违反点。表中任何“最优”均不能解释为满足原全部约束的尺寸方案；全局能量证书已经排除遗漏可行点的可能。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eometry_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图2  几何可行域内面积、体积与初始显热上界</w:t>
      </w:r>
    </w:p>
    <w:p>
      <w:pPr>
        <w:pStyle w:val="Heading1"/>
      </w:pPr>
      <w:r>
        <w:t>5 最大体积下的最小面积诊断几何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固定V=220 m³时，H=V/(πR²)，故S(R)=2V/R+2πR²。令dS/dR=0得到R=(V/2π)^(1/3)，相应H=V/(πR²)。该点仅用于给出“最大容量且同体积面积最小”的诊断基准。</w:t>
      </w:r>
    </w:p>
    <w:tbl>
      <w:tblPr>
        <w:tblStyle w:val="TableGrid"/>
        <w:tblW w:type="dxa" w:w="97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512"/>
        <w:gridCol w:w="1512"/>
        <w:gridCol w:w="1584"/>
        <w:gridCol w:w="1800"/>
        <w:gridCol w:w="1800"/>
      </w:tblGrid>
      <w:tr>
        <w:trPr>
          <w:tblHeader w:val="true"/>
        </w:trP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R/m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H/m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V/m³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S/m²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总质量/kg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K/(W/K)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3.271505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6.543010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220.000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201.742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396000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2440.962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端层UA为193.672 W/K，中间三层UA为86.077 W/K。10 s复算下，需求反演诊断控制的最低T1为288.927℃、末端储热比为-0.0035，再次显示运行约束失败。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iagnostic_temperatur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667085"/>
          <w:sz w:val="18"/>
        </w:rPr>
        <w:t>图3  最大体积最小面积诊断几何的五层温度</w:t>
      </w:r>
    </w:p>
    <w:p>
      <w:pPr>
        <w:pStyle w:val="Heading1"/>
      </w:pPr>
      <w:r>
        <w:t>6 灵敏度与模型解释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增大R在固定H下按R²提高质量和K，按R提高侧壁散热、按R²提高端面散热；增大H在固定R下线性提高质量与侧壁UA，却按1/H降低K。固定体积时，较大R使罐更矮、K增大，可能削弱分层；较小R使侧壁面积增大。geometry_sensitivity.csv保存了41×41网格中所有满足体积约束的质量、面积、K、UA与能量上界。</w:t>
      </w:r>
    </w:p>
    <w:p>
      <w:pPr>
        <w:pStyle w:val="Heading1"/>
      </w:pPr>
      <w:r>
        <w:t>7 结论与修正方向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原问题无R、H及48段流量的可行组合。恢复可行性至少需要把容积上限提高到约714.8 m³（仍忽略散热），或把总需求降低至25.08 MWh以下，或取消20%末端储热要求并将需求降至31.35 MWh以下。</w:t>
      </w:r>
    </w:p>
    <w:p>
      <w:pPr>
        <w:pStyle w:val="Heading1"/>
      </w:pPr>
      <w:r>
        <w:t>附录A 复现文件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主程序src/solve_q4.py；配置config/q4_config.json；算法表、几何灵敏度、10 s诊断轨迹和最终证书位于results；日志位于logs/run.log。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 xml:space="preserve">问题4详细求解报告 ·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67085"/>
        <w:sz w:val="17"/>
      </w:rPr>
      <w:t>分层熔盐储热系统｜问题4 尺寸与运行协同优化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rPr>
      <w:rFonts w:ascii="Cambria Math" w:hAnsi="Cambria Math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问题4尺寸与运行协同优化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