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DF" w:rsidRDefault="000155DF" w:rsidP="000155DF">
      <w:pPr>
        <w:pStyle w:val="paragraph"/>
        <w:spacing w:before="0" w:beforeAutospacing="0" w:after="0" w:afterAutospacing="0"/>
        <w:jc w:val="center"/>
      </w:pPr>
      <w:r>
        <w:rPr>
          <w:rFonts w:ascii="Times New Roman" w:hAnsi="Times New Roman" w:cs="Times New Roman"/>
          <w:b/>
          <w:bCs/>
          <w:color w:val="000000"/>
          <w:sz w:val="36"/>
          <w:szCs w:val="36"/>
        </w:rPr>
        <w:t>2019</w:t>
      </w:r>
      <w:r>
        <w:rPr>
          <w:rFonts w:ascii="仿宋_GB2312" w:eastAsia="仿宋_GB2312" w:hint="eastAsia"/>
          <w:b/>
          <w:bCs/>
          <w:color w:val="000000"/>
          <w:sz w:val="36"/>
          <w:szCs w:val="36"/>
        </w:rPr>
        <w:t>—</w:t>
      </w:r>
      <w:r>
        <w:rPr>
          <w:rFonts w:ascii="Times New Roman" w:hAnsi="Times New Roman" w:cs="Times New Roman"/>
          <w:b/>
          <w:bCs/>
          <w:color w:val="000000"/>
          <w:sz w:val="36"/>
          <w:szCs w:val="36"/>
        </w:rPr>
        <w:t>2020</w:t>
      </w:r>
      <w:r>
        <w:rPr>
          <w:rFonts w:ascii="仿宋_GB2312" w:eastAsia="仿宋_GB2312" w:hint="eastAsia"/>
          <w:b/>
          <w:bCs/>
          <w:color w:val="000000"/>
          <w:sz w:val="36"/>
          <w:szCs w:val="36"/>
        </w:rPr>
        <w:t>（</w:t>
      </w:r>
      <w:r>
        <w:rPr>
          <w:rFonts w:ascii="Times New Roman" w:hAnsi="Times New Roman" w:cs="Times New Roman"/>
          <w:b/>
          <w:bCs/>
          <w:color w:val="000000"/>
          <w:sz w:val="36"/>
          <w:szCs w:val="36"/>
        </w:rPr>
        <w:t>1</w:t>
      </w:r>
      <w:r>
        <w:rPr>
          <w:rFonts w:ascii="仿宋_GB2312" w:eastAsia="仿宋_GB2312" w:hint="eastAsia"/>
          <w:b/>
          <w:bCs/>
          <w:color w:val="000000"/>
          <w:sz w:val="36"/>
          <w:szCs w:val="36"/>
        </w:rPr>
        <w:t>）</w:t>
      </w:r>
      <w:bookmarkStart w:id="0" w:name="_GoBack"/>
      <w:r>
        <w:rPr>
          <w:rFonts w:ascii="仿宋_GB2312" w:eastAsia="仿宋_GB2312" w:hint="eastAsia"/>
          <w:b/>
          <w:bCs/>
          <w:color w:val="000000"/>
          <w:sz w:val="36"/>
          <w:szCs w:val="36"/>
        </w:rPr>
        <w:t>大学物理</w:t>
      </w:r>
      <w:r>
        <w:rPr>
          <w:rFonts w:ascii="Times New Roman" w:hAnsi="Times New Roman" w:cs="Times New Roman"/>
          <w:b/>
          <w:bCs/>
          <w:color w:val="000000"/>
          <w:sz w:val="36"/>
          <w:szCs w:val="36"/>
        </w:rPr>
        <w:t>I</w:t>
      </w:r>
      <w:r>
        <w:rPr>
          <w:rFonts w:ascii="仿宋_GB2312" w:eastAsia="仿宋_GB2312" w:hint="eastAsia"/>
          <w:b/>
          <w:bCs/>
          <w:color w:val="000000"/>
          <w:sz w:val="36"/>
          <w:szCs w:val="36"/>
        </w:rPr>
        <w:t>（下）</w:t>
      </w:r>
    </w:p>
    <w:p w:rsidR="000155DF" w:rsidRDefault="000155DF" w:rsidP="000155DF">
      <w:pPr>
        <w:pStyle w:val="paragraph"/>
        <w:spacing w:before="0" w:beforeAutospacing="0" w:after="0" w:afterAutospacing="0"/>
        <w:jc w:val="center"/>
      </w:pPr>
      <w:r>
        <w:rPr>
          <w:rFonts w:ascii="仿宋_GB2312" w:eastAsia="仿宋_GB2312" w:hint="eastAsia"/>
          <w:b/>
          <w:bCs/>
          <w:color w:val="000000"/>
          <w:sz w:val="36"/>
          <w:szCs w:val="36"/>
        </w:rPr>
        <w:t>期末考试知识要点</w:t>
      </w:r>
    </w:p>
    <w:bookmarkEnd w:id="0"/>
    <w:p w:rsidR="000155DF" w:rsidRDefault="000155DF" w:rsidP="000155DF">
      <w:pPr>
        <w:pStyle w:val="paragraph"/>
        <w:spacing w:before="0" w:beforeAutospacing="0" w:after="0" w:afterAutospacing="0" w:line="400" w:lineRule="atLeast"/>
        <w:jc w:val="both"/>
      </w:pPr>
      <w:r>
        <w:rPr>
          <w:rFonts w:ascii="仿宋_GB2312" w:eastAsia="仿宋_GB2312" w:hint="eastAsia"/>
          <w:b/>
          <w:bCs/>
          <w:color w:val="000000"/>
          <w:sz w:val="28"/>
          <w:szCs w:val="28"/>
        </w:rPr>
        <w:t>知识点要求</w:t>
      </w:r>
      <w:r>
        <w:rPr>
          <w:rFonts w:ascii="仿宋_GB2312" w:eastAsia="仿宋_GB2312" w:hint="eastAsia"/>
          <w:b/>
          <w:bCs/>
          <w:color w:val="FF0000"/>
          <w:sz w:val="28"/>
          <w:szCs w:val="28"/>
        </w:rPr>
        <w:t>（未提到的不作要求）</w:t>
      </w:r>
    </w:p>
    <w:p w:rsidR="000155DF" w:rsidRDefault="000155DF" w:rsidP="000155DF">
      <w:pPr>
        <w:pStyle w:val="paragraph"/>
        <w:spacing w:before="187" w:beforeAutospacing="0" w:after="0" w:afterAutospacing="0" w:line="400" w:lineRule="atLeast"/>
      </w:pPr>
      <w:r>
        <w:rPr>
          <w:rFonts w:ascii="楷体_GB2312" w:eastAsia="楷体_GB2312" w:hint="eastAsia"/>
          <w:b/>
          <w:bCs/>
          <w:color w:val="000000"/>
        </w:rPr>
        <w:t>一、振动和波部分（23%）</w:t>
      </w:r>
    </w:p>
    <w:p w:rsidR="000155DF" w:rsidRDefault="000155DF" w:rsidP="000155DF">
      <w:pPr>
        <w:pStyle w:val="paragraph"/>
        <w:spacing w:before="0" w:beforeAutospacing="0" w:after="0" w:afterAutospacing="0" w:line="400" w:lineRule="atLeast"/>
        <w:ind w:hanging="240"/>
        <w:jc w:val="both"/>
      </w:pPr>
      <w:r>
        <w:rPr>
          <w:rFonts w:hint="eastAsia"/>
          <w:color w:val="000000"/>
        </w:rPr>
        <w:t>1.理解一维谐振动方程的意义，能根据给定的特征参量写出具体的谐振动方程，或根据谐振动曲线提供的信息写出具体的谐振动方程；能借助旋转矢量法确定典型谐振动状态（如处于平衡位置或二分之一振幅处，向正方向或向负方向运动）的典型相位；理解两个同方向、同频率谐振动的合振动加强减弱的条件，并能用该条件确定分振动的相位</w:t>
      </w:r>
      <w:r>
        <w:rPr>
          <w:rFonts w:hint="eastAsia"/>
          <w:strike/>
          <w:color w:val="000000"/>
        </w:rPr>
        <w:t>；了解阻尼振动的振动方程的一般形式</w:t>
      </w:r>
      <w:r>
        <w:rPr>
          <w:rFonts w:hint="eastAsia"/>
          <w:color w:val="000000"/>
        </w:rPr>
        <w:t>。</w:t>
      </w:r>
    </w:p>
    <w:p w:rsidR="000155DF" w:rsidRDefault="000155DF" w:rsidP="000155DF">
      <w:pPr>
        <w:pStyle w:val="paragraph"/>
        <w:spacing w:before="0" w:beforeAutospacing="0" w:after="0" w:afterAutospacing="0" w:line="400" w:lineRule="atLeast"/>
        <w:ind w:hanging="240"/>
      </w:pPr>
      <w:r>
        <w:rPr>
          <w:rFonts w:hint="eastAsia"/>
          <w:color w:val="000000"/>
        </w:rPr>
        <w:t>2.理解一维平面简谐波动方程的意义，能根据波动方程求出某点的振动方程或某时刻的波形方程，能根据波动的特征参量或波形曲线提供的波动参量写出具体的波动方程；掌握波的相干条件及相干波叠加的加强减弱条件，并由该条件确定干涉加强或减弱点的位置；理解驻波及波腹、波节的概念和相位关系；理解多普勒效应，能计算波源运动时观察者接收到的频率。</w:t>
      </w:r>
    </w:p>
    <w:p w:rsidR="000155DF" w:rsidRDefault="000155DF" w:rsidP="000155DF">
      <w:pPr>
        <w:pStyle w:val="paragraph"/>
        <w:spacing w:before="187" w:beforeAutospacing="0" w:after="0" w:afterAutospacing="0" w:line="400" w:lineRule="atLeast"/>
      </w:pPr>
      <w:r>
        <w:rPr>
          <w:rFonts w:ascii="楷体_GB2312" w:eastAsia="楷体_GB2312" w:hint="eastAsia"/>
          <w:b/>
          <w:bCs/>
          <w:color w:val="000000"/>
        </w:rPr>
        <w:t>二、光学部分（25%）</w:t>
      </w:r>
    </w:p>
    <w:p w:rsidR="000155DF" w:rsidRDefault="000155DF" w:rsidP="000155DF">
      <w:pPr>
        <w:pStyle w:val="paragraph"/>
        <w:spacing w:before="0" w:beforeAutospacing="0" w:after="0" w:afterAutospacing="0" w:line="400" w:lineRule="atLeast"/>
        <w:ind w:hanging="240"/>
      </w:pPr>
      <w:r>
        <w:rPr>
          <w:rFonts w:hint="eastAsia"/>
          <w:color w:val="000000"/>
        </w:rPr>
        <w:t>1.理解相干光、光程、光程差、半波损失的概念以及光程差和相位差的关系；掌握用光程差表示的干涉明、暗条件；理解并能计算杨氏双缝干涉、</w:t>
      </w:r>
      <w:proofErr w:type="gramStart"/>
      <w:r>
        <w:rPr>
          <w:rFonts w:hint="eastAsia"/>
          <w:color w:val="000000"/>
        </w:rPr>
        <w:t>劈尖干涉</w:t>
      </w:r>
      <w:proofErr w:type="gramEnd"/>
      <w:r>
        <w:rPr>
          <w:rFonts w:hint="eastAsia"/>
          <w:color w:val="FF0000"/>
        </w:rPr>
        <w:t>或牛顿环</w:t>
      </w:r>
      <w:r>
        <w:rPr>
          <w:rFonts w:hint="eastAsia"/>
          <w:color w:val="000000"/>
        </w:rPr>
        <w:t>的干涉条纹分布规律及条纹宽度及其变化。</w:t>
      </w:r>
    </w:p>
    <w:p w:rsidR="000155DF" w:rsidRDefault="000155DF" w:rsidP="000155DF">
      <w:pPr>
        <w:pStyle w:val="paragraph"/>
        <w:spacing w:before="0" w:beforeAutospacing="0" w:after="0" w:afterAutospacing="0" w:line="400" w:lineRule="atLeast"/>
        <w:ind w:hanging="240"/>
      </w:pPr>
      <w:r>
        <w:rPr>
          <w:rFonts w:hint="eastAsia"/>
          <w:color w:val="000000"/>
        </w:rPr>
        <w:t>2.掌握垂直入射条件下的单缝和光栅的夫</w:t>
      </w:r>
      <w:proofErr w:type="gramStart"/>
      <w:r>
        <w:rPr>
          <w:rFonts w:hint="eastAsia"/>
          <w:color w:val="000000"/>
        </w:rPr>
        <w:t>琅</w:t>
      </w:r>
      <w:proofErr w:type="gramEnd"/>
      <w:r>
        <w:rPr>
          <w:rFonts w:hint="eastAsia"/>
          <w:color w:val="000000"/>
        </w:rPr>
        <w:t>和费衍射基本方程及衍射条纹分布特征；理解半波带分析法并能计算半波带数目及明、暗条纹的角位置和中央眀纹的线宽度；能利用光栅方程计算各级明条纹的角位置和线位置及最高级次，理解光栅光谱缺级的概念，并能在给定缺级级次的前提</w:t>
      </w:r>
      <w:proofErr w:type="gramStart"/>
      <w:r>
        <w:rPr>
          <w:rFonts w:hint="eastAsia"/>
          <w:color w:val="000000"/>
        </w:rPr>
        <w:t>下计算</w:t>
      </w:r>
      <w:proofErr w:type="gramEnd"/>
      <w:r>
        <w:rPr>
          <w:rFonts w:hint="eastAsia"/>
          <w:color w:val="000000"/>
        </w:rPr>
        <w:t>光栅光谱的条纹总数。</w:t>
      </w:r>
    </w:p>
    <w:p w:rsidR="000155DF" w:rsidRDefault="000155DF" w:rsidP="000155DF">
      <w:pPr>
        <w:pStyle w:val="paragraph"/>
        <w:spacing w:before="0" w:beforeAutospacing="0" w:after="0" w:afterAutospacing="0" w:line="400" w:lineRule="atLeast"/>
        <w:ind w:hanging="240"/>
      </w:pPr>
      <w:r>
        <w:rPr>
          <w:rFonts w:hint="eastAsia"/>
          <w:color w:val="000000"/>
        </w:rPr>
        <w:t>3.理解并能应用布儒斯特定律和马吕斯定律做简单计算。</w:t>
      </w:r>
    </w:p>
    <w:p w:rsidR="000155DF" w:rsidRDefault="000155DF" w:rsidP="000155DF">
      <w:pPr>
        <w:pStyle w:val="paragraph"/>
        <w:spacing w:before="187" w:beforeAutospacing="0" w:after="0" w:afterAutospacing="0" w:line="400" w:lineRule="atLeast"/>
      </w:pPr>
      <w:r>
        <w:rPr>
          <w:rFonts w:ascii="楷体_GB2312" w:eastAsia="楷体_GB2312" w:hint="eastAsia"/>
          <w:b/>
          <w:bCs/>
          <w:color w:val="000000"/>
        </w:rPr>
        <w:t>三、热学部分（27%）</w:t>
      </w:r>
    </w:p>
    <w:p w:rsidR="000155DF" w:rsidRDefault="000155DF" w:rsidP="000155DF">
      <w:pPr>
        <w:pStyle w:val="paragraph"/>
        <w:spacing w:before="0" w:beforeAutospacing="0" w:after="0" w:afterAutospacing="0" w:line="400" w:lineRule="atLeast"/>
        <w:ind w:hanging="240"/>
      </w:pPr>
      <w:r>
        <w:rPr>
          <w:rFonts w:hint="eastAsia"/>
          <w:color w:val="000000"/>
        </w:rPr>
        <w:t>1.理解理想气体平衡态的微观模型和统计假设；掌握理想气体状态方程及应用；理解温度的统计意义；理解刚性分子的动能与平动动能的意义和差别，掌握刚性分子的自由度、能量按自由度均分定理、理想气体的内能的意义和表达式及相关计算；理解麦氏速率分布函数的物理意义和分布曲线的特征；理解三种统计速率的物理意义及其对分子质量和温度的依赖关系；了解平均碰撞频率和平均自由程的意义和简单计算。</w:t>
      </w:r>
    </w:p>
    <w:p w:rsidR="000155DF" w:rsidRDefault="000155DF" w:rsidP="000155DF">
      <w:pPr>
        <w:pStyle w:val="paragraph"/>
        <w:spacing w:before="0" w:beforeAutospacing="0" w:after="0" w:afterAutospacing="0" w:line="400" w:lineRule="atLeast"/>
        <w:ind w:hanging="240"/>
      </w:pPr>
      <w:r>
        <w:rPr>
          <w:rFonts w:hint="eastAsia"/>
          <w:color w:val="000000"/>
        </w:rPr>
        <w:lastRenderedPageBreak/>
        <w:t>2.掌握热力学第一定律对于理想气体各等值过程和绝热过程中的功、热量及内能增量的计算；掌握理想气体的定体、定压摩尔热容和内能的计算方法；掌握简单循环过程热机效率的计算及卡诺循环热机效率的计算。</w:t>
      </w:r>
    </w:p>
    <w:p w:rsidR="000155DF" w:rsidRDefault="000155DF" w:rsidP="000155DF">
      <w:pPr>
        <w:pStyle w:val="paragraph"/>
        <w:spacing w:before="0" w:beforeAutospacing="0" w:after="0" w:afterAutospacing="0" w:line="400" w:lineRule="atLeast"/>
        <w:ind w:hanging="240"/>
      </w:pPr>
      <w:r>
        <w:rPr>
          <w:rFonts w:hint="eastAsia"/>
          <w:color w:val="000000"/>
        </w:rPr>
        <w:t>3.理解热力学第二定律的开尔文叙述和克劳修斯叙述的意义，理解热力学第二定律的统计意义，</w:t>
      </w:r>
      <w:proofErr w:type="gramStart"/>
      <w:r>
        <w:rPr>
          <w:rFonts w:hint="eastAsia"/>
          <w:color w:val="000000"/>
        </w:rPr>
        <w:t>理解熵是状态</w:t>
      </w:r>
      <w:proofErr w:type="gramEnd"/>
      <w:r>
        <w:rPr>
          <w:rFonts w:hint="eastAsia"/>
          <w:color w:val="000000"/>
        </w:rPr>
        <w:t>量的意义，会计算简单过程热力学系统的熵增量。</w:t>
      </w:r>
    </w:p>
    <w:p w:rsidR="000155DF" w:rsidRDefault="000155DF" w:rsidP="000155DF">
      <w:pPr>
        <w:pStyle w:val="paragraph"/>
        <w:spacing w:before="187" w:beforeAutospacing="0" w:after="0" w:afterAutospacing="0" w:line="400" w:lineRule="atLeast"/>
      </w:pPr>
      <w:r>
        <w:rPr>
          <w:rFonts w:ascii="楷体_GB2312" w:eastAsia="楷体_GB2312" w:hint="eastAsia"/>
          <w:b/>
          <w:bCs/>
          <w:color w:val="000000"/>
        </w:rPr>
        <w:t>四、近代物理部分（</w:t>
      </w:r>
      <w:r>
        <w:rPr>
          <w:rFonts w:hint="eastAsia"/>
          <w:b/>
          <w:bCs/>
          <w:color w:val="000000"/>
        </w:rPr>
        <w:t>25%</w:t>
      </w:r>
      <w:r>
        <w:rPr>
          <w:rFonts w:ascii="楷体_GB2312" w:eastAsia="楷体_GB2312" w:hint="eastAsia"/>
          <w:b/>
          <w:bCs/>
          <w:color w:val="000000"/>
        </w:rPr>
        <w:t>）</w:t>
      </w:r>
    </w:p>
    <w:p w:rsidR="000155DF" w:rsidRDefault="000155DF" w:rsidP="000155DF">
      <w:pPr>
        <w:pStyle w:val="paragraph"/>
        <w:spacing w:before="0" w:beforeAutospacing="0" w:after="0" w:afterAutospacing="0" w:line="400" w:lineRule="atLeast"/>
        <w:ind w:hanging="240"/>
      </w:pPr>
      <w:r>
        <w:rPr>
          <w:rFonts w:hint="eastAsia"/>
          <w:color w:val="000000"/>
        </w:rPr>
        <w:t>1.理解爱因斯坦狭义相对论的两条基本原理的含义；能利用</w:t>
      </w:r>
      <w:proofErr w:type="gramStart"/>
      <w:r>
        <w:rPr>
          <w:rFonts w:hint="eastAsia"/>
          <w:color w:val="000000"/>
        </w:rPr>
        <w:t>洛</w:t>
      </w:r>
      <w:proofErr w:type="gramEnd"/>
      <w:r>
        <w:rPr>
          <w:rFonts w:hint="eastAsia"/>
          <w:color w:val="000000"/>
        </w:rPr>
        <w:t>伦兹</w:t>
      </w:r>
      <w:r>
        <w:rPr>
          <w:rFonts w:hint="eastAsia"/>
          <w:color w:val="FF0000"/>
        </w:rPr>
        <w:t>坐标</w:t>
      </w:r>
      <w:r>
        <w:rPr>
          <w:rFonts w:hint="eastAsia"/>
          <w:color w:val="000000"/>
        </w:rPr>
        <w:t>变换公式讨论同时的相对性，正确理解相对论时空观，能分析计算有关长度收缩和时钟延缓的相关问题；理解质量速度关系和质量能量关系；理解相对论动能、静止能量和相对论总能量的意义和相关计算。</w:t>
      </w:r>
    </w:p>
    <w:p w:rsidR="000155DF" w:rsidRDefault="000155DF" w:rsidP="000155DF">
      <w:pPr>
        <w:pStyle w:val="paragraph"/>
        <w:spacing w:before="0" w:beforeAutospacing="0" w:after="0" w:afterAutospacing="0" w:line="400" w:lineRule="atLeast"/>
        <w:ind w:hanging="240"/>
      </w:pPr>
      <w:r>
        <w:rPr>
          <w:rFonts w:hint="eastAsia"/>
          <w:color w:val="000000"/>
        </w:rPr>
        <w:t>2.理解光电效应和康普顿效应的物理模型，掌握爱因斯坦光电效应方程、康普顿效应公式、德布罗意关系和不确定关系；理解波函数及其统计意义，在给定一维粒子归一化波函数条件下，能计算粒子在某区间出现的概率；能用氢原子能级公式分析可能的跃迁，并计算相应的跃迁辐射的频率或波长。</w:t>
      </w:r>
    </w:p>
    <w:p w:rsidR="00DF338E" w:rsidRDefault="00DF338E"/>
    <w:sectPr w:rsidR="00DF33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A18"/>
    <w:rsid w:val="000155DF"/>
    <w:rsid w:val="001D1A18"/>
    <w:rsid w:val="00DF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155D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155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12003">
      <w:bodyDiv w:val="1"/>
      <w:marLeft w:val="0"/>
      <w:marRight w:val="0"/>
      <w:marTop w:val="0"/>
      <w:marBottom w:val="0"/>
      <w:divBdr>
        <w:top w:val="none" w:sz="0" w:space="0" w:color="auto"/>
        <w:left w:val="none" w:sz="0" w:space="0" w:color="auto"/>
        <w:bottom w:val="none" w:sz="0" w:space="0" w:color="auto"/>
        <w:right w:val="none" w:sz="0" w:space="0" w:color="auto"/>
      </w:divBdr>
      <w:divsChild>
        <w:div w:id="19938332">
          <w:marLeft w:val="0"/>
          <w:marRight w:val="0"/>
          <w:marTop w:val="0"/>
          <w:marBottom w:val="0"/>
          <w:divBdr>
            <w:top w:val="none" w:sz="0" w:space="0" w:color="auto"/>
            <w:left w:val="none" w:sz="0" w:space="0" w:color="auto"/>
            <w:bottom w:val="none" w:sz="0" w:space="0" w:color="auto"/>
            <w:right w:val="none" w:sz="0" w:space="0" w:color="auto"/>
          </w:divBdr>
          <w:divsChild>
            <w:div w:id="19359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熊崇涛</dc:creator>
  <cp:keywords/>
  <dc:description/>
  <cp:lastModifiedBy>熊崇涛</cp:lastModifiedBy>
  <cp:revision>2</cp:revision>
  <dcterms:created xsi:type="dcterms:W3CDTF">2019-12-16T08:12:00Z</dcterms:created>
  <dcterms:modified xsi:type="dcterms:W3CDTF">2019-12-16T08:12:00Z</dcterms:modified>
</cp:coreProperties>
</file>