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</w:rPr>
        <w:t xml:space="preserve">Lab 1: Requirements Table</w:t>
      </w:r>
    </w:p>
    <w:p>
      <w:r>
        <w:rPr>
          <w:i/>
          <w:iCs/>
          <w:sz w:val="20"/>
          <w:szCs w:val="20"/>
        </w:rPr>
        <w:t xml:space="preserve">Problem Statement #56 — Peer Skill Exchange &amp; Mentorship Network (Time-Banking Platform)</w:t>
      </w:r>
    </w:p>
    <w:p/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600"/>
        <w:gridCol w:w="9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4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2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maintain a time-credit balance for each member, crediting 1 hour upon verified completion of a teaching session.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Time credit transfers from learner to mentor after session sign-off.
Fail: Member with 0 credits books a session.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mechanism enabling the barter-based time economy (given).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4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member to create and edit a profile listing skills they can teach and skills they want to learn.</w:t>
            </w:r>
          </w:p>
        </w:tc>
        <w:tc>
          <w:tcPr>
            <w:tcW w:type="dxa" w:w="9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Profile saves with at least one skill tag and is visible in mentor search.
Fail: Profile with zero skill tags is saved successfully.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Profiles are the foundation for matching learners with mentors.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Learner Member to search and filter Skill Mentors by skill category and availability.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Searching "Guitar" returns only mentors who list Guitar as a taught skill.
Fail: Search returns mentors without the queried skill.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discovery, the primary entry point into the exchange.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4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Learner Member to book a session with a Skill Mentor by selecting an open time slot from the mentor's calendar.</w:t>
            </w:r>
          </w:p>
        </w:tc>
        <w:tc>
          <w:tcPr>
            <w:tcW w:type="dxa" w:w="9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Selected slot moves to "Pending Confirmation" and is removed from other learners' view.
Fail: Two learners can book the same slot.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double-booking and enables reliable scheduling.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require both the Learner Member and Skill Mentor to submit a mutual feedback rating (1-5 stars) within 48 hours of session completion.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Session marked "Rated" once both parties submit; reminder sent at 24h if pending.
Fail: Rating accepted from only one party without prompting the other.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Mutual ratings build trust and platform accountability.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4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6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session scheduling calendar must sync seamlessly with Google Calendar and Outlook via iCal export feeds.</w:t>
            </w:r>
          </w:p>
        </w:tc>
        <w:tc>
          <w:tcPr>
            <w:tcW w:type="dxa" w:w="9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Members rely on external calendars; sync failures cause missed sessions (given).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(Security)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encrypt all stored personal data and time-credit transaction records using AES-256 at rest and TLS 1.3 in transit.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Security audit confirms encryption on all data stores and endpoints.
Fail: Any unencrypted PII or credit-ledger record is found in a scan.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member trust and credit-ledger integrity from tampering or breach.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2026-08-25T05:22:23.695Z</dcterms:created>
  <dcterms:modified xsi:type="dcterms:W3CDTF">2026-08-25T05:22:23.710Z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