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nil"/>
        </w:pBdr>
      </w:pPr>
      <w:r>
        <w:t>VeriModern Architecture and Technology Stack</w:t>
      </w:r>
    </w:p>
    <w:p>
      <w:r>
        <w:rPr>
          <w:b/>
        </w:rPr>
        <w:t xml:space="preserve">Project  </w:t>
      </w:r>
      <w:r>
        <w:t>Behavior-Preserving Legacy Code Transformation through AI and Characterization Testing</w:t>
      </w:r>
    </w:p>
    <w:p>
      <w:r>
        <w:rPr>
          <w:b/>
        </w:rPr>
        <w:t>Version  1.1  |  12 October 2026  |  Current prototype and proposed production path</w:t>
      </w:r>
      <w:r/>
    </w:p>
    <w:p>
      <w:pPr>
        <w:pStyle w:val="Heading1"/>
      </w:pPr>
      <w:r>
        <w:t>Purpose and architectural position</w:t>
      </w:r>
    </w:p>
    <w:p>
      <w:r>
        <w:t>VeriModern lets a user authorize a GitHub repository, inspect declared language versions, request a scoped modernization, and review a code pull request with functional and technical change summaries. This document explains how the available prototype is assembled and which technologies perform each job. It is intended for project reviewers and developers who need a precise current-state architecture, not a claim that every planned research feature is already complete.</w:t>
      </w:r>
    </w:p>
    <w:p>
      <w:r>
        <w:t>The current prototype is one Next.js service with a GitHub App for repository access. It launches Claude CLI headlessly on the local Mac; Claude directs migration inside Daytona. The POC investigates whether an LLM can transform legacy code; Maven Java 8 to Java 21 is its first demonstrated case, not a language boundary. Detecting other languages does not prove migration support.</w:t>
      </w:r>
    </w:p>
    <w:p>
      <w:pPr>
        <w:pStyle w:val="Heading1"/>
      </w:pPr>
      <w:r>
        <w:t>Current system architecture</w:t>
      </w:r>
    </w:p>
    <w:p>
      <w:pPr>
        <w:spacing w:after="60"/>
        <w:jc w:val="center"/>
      </w:pPr>
      <w:r>
        <w:drawing>
          <wp:inline xmlns:a="http://schemas.openxmlformats.org/drawingml/2006/main" xmlns:pic="http://schemas.openxmlformats.org/drawingml/2006/picture">
            <wp:extent cx="5577840" cy="2416599"/>
            <wp:docPr id="1" name="Picture 1"/>
            <wp:cNvGraphicFramePr>
              <a:graphicFrameLocks noChangeAspect="1"/>
            </wp:cNvGraphicFramePr>
            <a:graphic>
              <a:graphicData uri="http://schemas.openxmlformats.org/drawingml/2006/picture">
                <pic:pic>
                  <pic:nvPicPr>
                    <pic:cNvPr id="0" name="verimodern_architecture.png"/>
                    <pic:cNvPicPr/>
                  </pic:nvPicPr>
                  <pic:blipFill>
                    <a:blip r:embed="rId9"/>
                    <a:stretch>
                      <a:fillRect/>
                    </a:stretch>
                  </pic:blipFill>
                  <pic:spPr>
                    <a:xfrm>
                      <a:off x="0" y="0"/>
                      <a:ext cx="5577840" cy="2416599"/>
                    </a:xfrm>
                    <a:prstGeom prst="rect"/>
                  </pic:spPr>
                </pic:pic>
              </a:graphicData>
            </a:graphic>
          </wp:inline>
        </w:drawing>
      </w:r>
    </w:p>
    <w:p>
      <w:pPr>
        <w:spacing w:after="140"/>
        <w:jc w:val="center"/>
      </w:pPr>
      <w:r>
        <w:rPr>
          <w:i/>
          <w:sz w:val="18"/>
        </w:rPr>
        <w:t>Figure 1. Current local simulation and trust boundaries.</w:t>
      </w:r>
    </w:p>
    <w:tbl>
      <w:tblPr>
        <w:tblStyle w:val="TableGrid"/>
        <w:tblW w:type="auto" w:w="0"/>
        <w:tblLayout w:type="fixed"/>
        <w:tblLook w:firstColumn="1" w:firstRow="1" w:lastColumn="0" w:lastRow="0" w:noHBand="0" w:noVBand="1" w:val="04A0"/>
      </w:tblPr>
      <w:tblGrid>
        <w:gridCol w:w="1728"/>
        <w:gridCol w:w="5688"/>
        <w:gridCol w:w="2462"/>
      </w:tblGrid>
      <w:tr>
        <w:trPr>
          <w:tblHeader w:val="true"/>
          <w:cantSplit/>
        </w:trPr>
        <w:tc>
          <w:tcPr>
            <w:tcW w:type="dxa" w:w="1728"/>
            <w:shd w:fill="263A59"/>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pPr>
            <w:r>
              <w:rPr>
                <w:b/>
                <w:color w:val="FFFFFF"/>
                <w:sz w:val="18"/>
              </w:rPr>
              <w:t>Component</w:t>
            </w:r>
          </w:p>
        </w:tc>
        <w:tc>
          <w:tcPr>
            <w:tcW w:type="dxa" w:w="5688"/>
            <w:shd w:fill="263A59"/>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pPr>
            <w:r>
              <w:rPr>
                <w:b/>
                <w:color w:val="FFFFFF"/>
                <w:sz w:val="18"/>
              </w:rPr>
              <w:t>Responsibility</w:t>
            </w:r>
          </w:p>
        </w:tc>
        <w:tc>
          <w:tcPr>
            <w:tcW w:type="dxa" w:w="2462"/>
            <w:shd w:fill="263A59"/>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pPr>
            <w:r>
              <w:rPr>
                <w:b/>
                <w:color w:val="FFFFFF"/>
                <w:sz w:val="18"/>
              </w:rPr>
              <w:t>Execution location</w:t>
            </w:r>
          </w:p>
        </w:tc>
      </w:tr>
      <w:tr>
        <w:trPr>
          <w:cantSplit/>
        </w:trPr>
        <w:tc>
          <w:tcPr>
            <w:tcW w:type="dxa" w:w="1728"/>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line="259" w:lineRule="auto"/>
            </w:pPr>
            <w:r>
              <w:rPr>
                <w:sz w:val="18"/>
              </w:rPr>
              <w:t>Browser UI</w:t>
            </w:r>
          </w:p>
        </w:tc>
        <w:tc>
          <w:tcPr>
            <w:tcW w:type="dxa" w:w="5688"/>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line="259" w:lineRule="auto"/>
            </w:pPr>
            <w:r>
              <w:rPr>
                <w:sz w:val="18"/>
              </w:rPr>
              <w:t>Collects repository URL, displays scan evidence, scope and target controls, live status, PR and summaries.</w:t>
            </w:r>
          </w:p>
        </w:tc>
        <w:tc>
          <w:tcPr>
            <w:tcW w:type="dxa" w:w="2462"/>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line="259" w:lineRule="auto"/>
            </w:pPr>
            <w:r>
              <w:rPr>
                <w:sz w:val="18"/>
              </w:rPr>
              <w:t>User browser</w:t>
            </w:r>
          </w:p>
        </w:tc>
      </w:tr>
      <w:tr>
        <w:trPr>
          <w:cantSplit/>
        </w:trPr>
        <w:tc>
          <w:tcPr>
            <w:tcW w:type="dxa" w:w="1728"/>
            <w:tcBorders>
              <w:top w:val="single" w:sz="4" w:color="D9D9D9"/>
              <w:left w:val="single" w:sz="4" w:color="D9D9D9"/>
              <w:bottom w:val="single" w:sz="4" w:color="D9D9D9"/>
              <w:right w:val="single" w:sz="4" w:color="D9D9D9"/>
            </w:tcBorders>
            <w:tcMar>
              <w:top w:w="95" w:type="dxa"/>
              <w:bottom w:w="95" w:type="dxa"/>
              <w:left w:w="105" w:type="dxa"/>
              <w:right w:w="105" w:type="dxa"/>
            </w:tcMar>
            <w:shd w:fill="F4F6FA"/>
            <w:vAlign w:val="center"/>
          </w:tcPr>
          <w:p>
            <w:pPr>
              <w:spacing w:after="0" w:line="259" w:lineRule="auto"/>
            </w:pPr>
            <w:r>
              <w:rPr>
                <w:sz w:val="18"/>
              </w:rPr>
              <w:t>Next.js server</w:t>
            </w:r>
          </w:p>
        </w:tc>
        <w:tc>
          <w:tcPr>
            <w:tcW w:type="dxa" w:w="5688"/>
            <w:tcBorders>
              <w:top w:val="single" w:sz="4" w:color="D9D9D9"/>
              <w:left w:val="single" w:sz="4" w:color="D9D9D9"/>
              <w:bottom w:val="single" w:sz="4" w:color="D9D9D9"/>
              <w:right w:val="single" w:sz="4" w:color="D9D9D9"/>
            </w:tcBorders>
            <w:tcMar>
              <w:top w:w="95" w:type="dxa"/>
              <w:bottom w:w="95" w:type="dxa"/>
              <w:left w:w="105" w:type="dxa"/>
              <w:right w:w="105" w:type="dxa"/>
            </w:tcMar>
            <w:shd w:fill="F4F6FA"/>
            <w:vAlign w:val="center"/>
          </w:tcPr>
          <w:p>
            <w:pPr>
              <w:spacing w:after="0" w:line="259" w:lineRule="auto"/>
            </w:pPr>
            <w:r>
              <w:rPr>
                <w:sz w:val="18"/>
              </w:rPr>
              <w:t>Handles GitHub authorization, scans manifests, records runs, streams events, mints worker credentials and creates PRs.</w:t>
            </w:r>
          </w:p>
        </w:tc>
        <w:tc>
          <w:tcPr>
            <w:tcW w:type="dxa" w:w="2462"/>
            <w:tcBorders>
              <w:top w:val="single" w:sz="4" w:color="D9D9D9"/>
              <w:left w:val="single" w:sz="4" w:color="D9D9D9"/>
              <w:bottom w:val="single" w:sz="4" w:color="D9D9D9"/>
              <w:right w:val="single" w:sz="4" w:color="D9D9D9"/>
            </w:tcBorders>
            <w:tcMar>
              <w:top w:w="95" w:type="dxa"/>
              <w:bottom w:w="95" w:type="dxa"/>
              <w:left w:w="105" w:type="dxa"/>
              <w:right w:w="105" w:type="dxa"/>
            </w:tcMar>
            <w:shd w:fill="F4F6FA"/>
            <w:vAlign w:val="center"/>
          </w:tcPr>
          <w:p>
            <w:pPr>
              <w:spacing w:after="0" w:line="259" w:lineRule="auto"/>
            </w:pPr>
            <w:r>
              <w:rPr>
                <w:sz w:val="18"/>
              </w:rPr>
              <w:t>Local Node.js server</w:t>
            </w:r>
          </w:p>
        </w:tc>
      </w:tr>
      <w:tr>
        <w:trPr>
          <w:cantSplit/>
        </w:trPr>
        <w:tc>
          <w:tcPr>
            <w:tcW w:type="dxa" w:w="1728"/>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line="259" w:lineRule="auto"/>
            </w:pPr>
            <w:r>
              <w:rPr>
                <w:sz w:val="18"/>
              </w:rPr>
              <w:t>Claude CLI controller</w:t>
            </w:r>
          </w:p>
        </w:tc>
        <w:tc>
          <w:tcPr>
            <w:tcW w:type="dxa" w:w="5688"/>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line="259" w:lineRule="auto"/>
            </w:pPr>
            <w:r>
              <w:rPr>
                <w:sz w:val="18"/>
              </w:rPr>
              <w:t>Reads a private work order, starts a Daytona sandbox and directs the migration workflow.</w:t>
            </w:r>
          </w:p>
        </w:tc>
        <w:tc>
          <w:tcPr>
            <w:tcW w:type="dxa" w:w="2462"/>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line="259" w:lineRule="auto"/>
            </w:pPr>
            <w:r>
              <w:rPr>
                <w:sz w:val="18"/>
              </w:rPr>
              <w:t>Hidden process on local Mac</w:t>
            </w:r>
          </w:p>
        </w:tc>
      </w:tr>
      <w:tr>
        <w:trPr>
          <w:cantSplit/>
        </w:trPr>
        <w:tc>
          <w:tcPr>
            <w:tcW w:type="dxa" w:w="1728"/>
            <w:tcBorders>
              <w:top w:val="single" w:sz="4" w:color="D9D9D9"/>
              <w:left w:val="single" w:sz="4" w:color="D9D9D9"/>
              <w:bottom w:val="single" w:sz="4" w:color="D9D9D9"/>
              <w:right w:val="single" w:sz="4" w:color="D9D9D9"/>
            </w:tcBorders>
            <w:tcMar>
              <w:top w:w="95" w:type="dxa"/>
              <w:bottom w:w="95" w:type="dxa"/>
              <w:left w:w="105" w:type="dxa"/>
              <w:right w:w="105" w:type="dxa"/>
            </w:tcMar>
            <w:shd w:fill="F4F6FA"/>
            <w:vAlign w:val="center"/>
          </w:tcPr>
          <w:p>
            <w:pPr>
              <w:spacing w:after="0" w:line="259" w:lineRule="auto"/>
            </w:pPr>
            <w:r>
              <w:rPr>
                <w:sz w:val="18"/>
              </w:rPr>
              <w:t>Daytona sandbox</w:t>
            </w:r>
          </w:p>
        </w:tc>
        <w:tc>
          <w:tcPr>
            <w:tcW w:type="dxa" w:w="5688"/>
            <w:tcBorders>
              <w:top w:val="single" w:sz="4" w:color="D9D9D9"/>
              <w:left w:val="single" w:sz="4" w:color="D9D9D9"/>
              <w:bottom w:val="single" w:sz="4" w:color="D9D9D9"/>
              <w:right w:val="single" w:sz="4" w:color="D9D9D9"/>
            </w:tcBorders>
            <w:tcMar>
              <w:top w:w="95" w:type="dxa"/>
              <w:bottom w:w="95" w:type="dxa"/>
              <w:left w:w="105" w:type="dxa"/>
              <w:right w:w="105" w:type="dxa"/>
            </w:tcMar>
            <w:shd w:fill="F4F6FA"/>
            <w:vAlign w:val="center"/>
          </w:tcPr>
          <w:p>
            <w:pPr>
              <w:spacing w:after="0" w:line="259" w:lineRule="auto"/>
            </w:pPr>
            <w:r>
              <w:rPr>
                <w:sz w:val="18"/>
              </w:rPr>
              <w:t>Clones the authorized repository, runs baseline checks, changes code, verifies and pushes a branch.</w:t>
            </w:r>
          </w:p>
        </w:tc>
        <w:tc>
          <w:tcPr>
            <w:tcW w:type="dxa" w:w="2462"/>
            <w:tcBorders>
              <w:top w:val="single" w:sz="4" w:color="D9D9D9"/>
              <w:left w:val="single" w:sz="4" w:color="D9D9D9"/>
              <w:bottom w:val="single" w:sz="4" w:color="D9D9D9"/>
              <w:right w:val="single" w:sz="4" w:color="D9D9D9"/>
            </w:tcBorders>
            <w:tcMar>
              <w:top w:w="95" w:type="dxa"/>
              <w:bottom w:w="95" w:type="dxa"/>
              <w:left w:w="105" w:type="dxa"/>
              <w:right w:w="105" w:type="dxa"/>
            </w:tcMar>
            <w:shd w:fill="F4F6FA"/>
            <w:vAlign w:val="center"/>
          </w:tcPr>
          <w:p>
            <w:pPr>
              <w:spacing w:after="0" w:line="259" w:lineRule="auto"/>
            </w:pPr>
            <w:r>
              <w:rPr>
                <w:sz w:val="18"/>
              </w:rPr>
              <w:t>Isolated cloud sandbox</w:t>
            </w:r>
          </w:p>
        </w:tc>
      </w:tr>
      <w:tr>
        <w:trPr>
          <w:cantSplit/>
        </w:trPr>
        <w:tc>
          <w:tcPr>
            <w:tcW w:type="dxa" w:w="1728"/>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line="259" w:lineRule="auto"/>
            </w:pPr>
            <w:r>
              <w:rPr>
                <w:sz w:val="18"/>
              </w:rPr>
              <w:t>GitHub App</w:t>
            </w:r>
          </w:p>
        </w:tc>
        <w:tc>
          <w:tcPr>
            <w:tcW w:type="dxa" w:w="5688"/>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line="259" w:lineRule="auto"/>
            </w:pPr>
            <w:r>
              <w:rPr>
                <w:sz w:val="18"/>
              </w:rPr>
              <w:t>Restricts repository access and provides short-lived installation tokens and PR API operations.</w:t>
            </w:r>
          </w:p>
        </w:tc>
        <w:tc>
          <w:tcPr>
            <w:tcW w:type="dxa" w:w="2462"/>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line="259" w:lineRule="auto"/>
            </w:pPr>
            <w:r>
              <w:rPr>
                <w:sz w:val="18"/>
              </w:rPr>
              <w:t>GitHub</w:t>
            </w:r>
          </w:p>
        </w:tc>
      </w:tr>
    </w:tbl>
    <w:p>
      <w:pPr>
        <w:spacing w:after="0"/>
      </w:pPr>
    </w:p>
    <w:p>
      <w:pPr>
        <w:pStyle w:val="Heading1"/>
      </w:pPr>
      <w:r>
        <w:t>Runtime sequence</w:t>
      </w:r>
    </w:p>
    <w:p>
      <w:pPr>
        <w:spacing w:after="60"/>
        <w:ind w:left="432" w:hanging="374"/>
      </w:pPr>
      <w:r>
        <w:rPr>
          <w:b/>
        </w:rPr>
        <w:t xml:space="preserve">1.  </w:t>
      </w:r>
      <w:r>
        <w:t>The user enters a repository URL; the app starts GitHub App installation and verifies that the installation can access that exact repository.</w:t>
      </w:r>
    </w:p>
    <w:p>
      <w:pPr>
        <w:spacing w:after="60"/>
        <w:ind w:left="432" w:hanging="374"/>
      </w:pPr>
      <w:r>
        <w:rPr>
          <w:b/>
        </w:rPr>
        <w:t xml:space="preserve">2.  </w:t>
      </w:r>
      <w:r>
        <w:t>The server reads tracked repository paths and recognized manifests; the UI presents file-level findings and lets the user choose a whole-repository or selected-file scope and target.</w:t>
      </w:r>
    </w:p>
    <w:p>
      <w:pPr>
        <w:spacing w:after="60"/>
        <w:ind w:left="432" w:hanging="374"/>
      </w:pPr>
      <w:r>
        <w:rPr>
          <w:b/>
        </w:rPr>
        <w:t xml:space="preserve">3.  </w:t>
      </w:r>
      <w:r>
        <w:t>A run is stored locally; a private work order starts the headless Claude CLI controller. The controller obtains a short-lived installation token and creates a Daytona sandbox.</w:t>
      </w:r>
    </w:p>
    <w:p>
      <w:pPr>
        <w:spacing w:after="60"/>
        <w:ind w:left="432" w:hanging="374"/>
      </w:pPr>
      <w:r>
        <w:rPr>
          <w:b/>
        </w:rPr>
        <w:t xml:space="preserve">4.  </w:t>
      </w:r>
      <w:r>
        <w:t>The repository is cloned inside Daytona. The worker records baseline evidence, performs the scoped migration, runs final checks and pushes a branch only when there is a real diff.</w:t>
      </w:r>
    </w:p>
    <w:p>
      <w:pPr>
        <w:spacing w:after="60"/>
        <w:ind w:left="432" w:hanging="374"/>
      </w:pPr>
      <w:r>
        <w:rPr>
          <w:b/>
        </w:rPr>
        <w:t xml:space="preserve">5.  </w:t>
      </w:r>
      <w:r>
        <w:t>The worker posts events and a structured result to the app. After a branch push, the app creates the GitHub PR. Server-sent events update the browser until completion or failure.</w:t>
      </w:r>
    </w:p>
    <w:p>
      <w:pPr>
        <w:pStyle w:val="Heading1"/>
      </w:pPr>
      <w:r>
        <w:t>Technology stack</w:t>
      </w:r>
    </w:p>
    <w:p>
      <w:r>
        <w:t>The following table describes the implementation present in the web application, not proposed or target-repository technologies.</w:t>
      </w:r>
    </w:p>
    <w:tbl>
      <w:tblPr>
        <w:tblStyle w:val="TableGrid"/>
        <w:tblW w:type="auto" w:w="0"/>
        <w:tblLayout w:type="fixed"/>
        <w:tblLook w:firstColumn="1" w:firstRow="1" w:lastColumn="0" w:lastRow="0" w:noHBand="0" w:noVBand="1" w:val="04A0"/>
      </w:tblPr>
      <w:tblGrid>
        <w:gridCol w:w="1498"/>
        <w:gridCol w:w="3528"/>
        <w:gridCol w:w="4853"/>
      </w:tblGrid>
      <w:tr>
        <w:trPr>
          <w:tblHeader w:val="true"/>
          <w:cantSplit/>
        </w:trPr>
        <w:tc>
          <w:tcPr>
            <w:tcW w:type="dxa" w:w="1498"/>
            <w:shd w:fill="263A59"/>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pPr>
            <w:r>
              <w:rPr>
                <w:b/>
                <w:color w:val="FFFFFF"/>
                <w:sz w:val="18"/>
              </w:rPr>
              <w:t>Layer</w:t>
            </w:r>
          </w:p>
        </w:tc>
        <w:tc>
          <w:tcPr>
            <w:tcW w:type="dxa" w:w="3528"/>
            <w:shd w:fill="263A59"/>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pPr>
            <w:r>
              <w:rPr>
                <w:b/>
                <w:color w:val="FFFFFF"/>
                <w:sz w:val="18"/>
              </w:rPr>
              <w:t>Technology</w:t>
            </w:r>
          </w:p>
        </w:tc>
        <w:tc>
          <w:tcPr>
            <w:tcW w:type="dxa" w:w="4853"/>
            <w:shd w:fill="263A59"/>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pPr>
            <w:r>
              <w:rPr>
                <w:b/>
                <w:color w:val="FFFFFF"/>
                <w:sz w:val="18"/>
              </w:rPr>
              <w:t>Use</w:t>
            </w:r>
          </w:p>
        </w:tc>
      </w:tr>
      <w:tr>
        <w:trPr>
          <w:cantSplit/>
        </w:trPr>
        <w:tc>
          <w:tcPr>
            <w:tcW w:type="dxa" w:w="1498"/>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line="259" w:lineRule="auto"/>
            </w:pPr>
            <w:r>
              <w:rPr>
                <w:sz w:val="18"/>
              </w:rPr>
              <w:t>Frontend</w:t>
            </w:r>
          </w:p>
        </w:tc>
        <w:tc>
          <w:tcPr>
            <w:tcW w:type="dxa" w:w="3528"/>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line="259" w:lineRule="auto"/>
            </w:pPr>
            <w:r>
              <w:rPr>
                <w:sz w:val="18"/>
              </w:rPr>
              <w:t>React 19.2.8; Next.js 16.3.6 App Router; TypeScript 5</w:t>
            </w:r>
          </w:p>
        </w:tc>
        <w:tc>
          <w:tcPr>
            <w:tcW w:type="dxa" w:w="4853"/>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line="259" w:lineRule="auto"/>
            </w:pPr>
            <w:r>
              <w:rPr>
                <w:sz w:val="18"/>
              </w:rPr>
              <w:t>Interactive pages and stateful run flow in TSX.</w:t>
            </w:r>
          </w:p>
        </w:tc>
      </w:tr>
      <w:tr>
        <w:trPr>
          <w:cantSplit/>
        </w:trPr>
        <w:tc>
          <w:tcPr>
            <w:tcW w:type="dxa" w:w="1498"/>
            <w:tcBorders>
              <w:top w:val="single" w:sz="4" w:color="D9D9D9"/>
              <w:left w:val="single" w:sz="4" w:color="D9D9D9"/>
              <w:bottom w:val="single" w:sz="4" w:color="D9D9D9"/>
              <w:right w:val="single" w:sz="4" w:color="D9D9D9"/>
            </w:tcBorders>
            <w:tcMar>
              <w:top w:w="95" w:type="dxa"/>
              <w:bottom w:w="95" w:type="dxa"/>
              <w:left w:w="105" w:type="dxa"/>
              <w:right w:w="105" w:type="dxa"/>
            </w:tcMar>
            <w:shd w:fill="F4F6FA"/>
            <w:vAlign w:val="center"/>
          </w:tcPr>
          <w:p>
            <w:pPr>
              <w:spacing w:after="0" w:line="259" w:lineRule="auto"/>
            </w:pPr>
            <w:r>
              <w:rPr>
                <w:sz w:val="18"/>
              </w:rPr>
              <w:t>Visual UI</w:t>
            </w:r>
          </w:p>
        </w:tc>
        <w:tc>
          <w:tcPr>
            <w:tcW w:type="dxa" w:w="3528"/>
            <w:tcBorders>
              <w:top w:val="single" w:sz="4" w:color="D9D9D9"/>
              <w:left w:val="single" w:sz="4" w:color="D9D9D9"/>
              <w:bottom w:val="single" w:sz="4" w:color="D9D9D9"/>
              <w:right w:val="single" w:sz="4" w:color="D9D9D9"/>
            </w:tcBorders>
            <w:tcMar>
              <w:top w:w="95" w:type="dxa"/>
              <w:bottom w:w="95" w:type="dxa"/>
              <w:left w:w="105" w:type="dxa"/>
              <w:right w:w="105" w:type="dxa"/>
            </w:tcMar>
            <w:shd w:fill="F4F6FA"/>
            <w:vAlign w:val="center"/>
          </w:tcPr>
          <w:p>
            <w:pPr>
              <w:spacing w:after="0" w:line="259" w:lineRule="auto"/>
            </w:pPr>
            <w:r>
              <w:rPr>
                <w:sz w:val="18"/>
              </w:rPr>
              <w:t>Tailwind CSS 4; shadcn 4.21; Base UI; Radix UI; lucide-react</w:t>
            </w:r>
          </w:p>
        </w:tc>
        <w:tc>
          <w:tcPr>
            <w:tcW w:type="dxa" w:w="4853"/>
            <w:tcBorders>
              <w:top w:val="single" w:sz="4" w:color="D9D9D9"/>
              <w:left w:val="single" w:sz="4" w:color="D9D9D9"/>
              <w:bottom w:val="single" w:sz="4" w:color="D9D9D9"/>
              <w:right w:val="single" w:sz="4" w:color="D9D9D9"/>
            </w:tcBorders>
            <w:tcMar>
              <w:top w:w="95" w:type="dxa"/>
              <w:bottom w:w="95" w:type="dxa"/>
              <w:left w:w="105" w:type="dxa"/>
              <w:right w:w="105" w:type="dxa"/>
            </w:tcMar>
            <w:shd w:fill="F4F6FA"/>
            <w:vAlign w:val="center"/>
          </w:tcPr>
          <w:p>
            <w:pPr>
              <w:spacing w:after="0" w:line="259" w:lineRule="auto"/>
            </w:pPr>
            <w:r>
              <w:rPr>
                <w:sz w:val="18"/>
              </w:rPr>
              <w:t>Styling, reusable components, accessible controls and icons.</w:t>
            </w:r>
          </w:p>
        </w:tc>
      </w:tr>
      <w:tr>
        <w:trPr>
          <w:cantSplit/>
        </w:trPr>
        <w:tc>
          <w:tcPr>
            <w:tcW w:type="dxa" w:w="1498"/>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line="259" w:lineRule="auto"/>
            </w:pPr>
            <w:r>
              <w:rPr>
                <w:sz w:val="18"/>
              </w:rPr>
              <w:t>Backend</w:t>
            </w:r>
          </w:p>
        </w:tc>
        <w:tc>
          <w:tcPr>
            <w:tcW w:type="dxa" w:w="3528"/>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line="259" w:lineRule="auto"/>
            </w:pPr>
            <w:r>
              <w:rPr>
                <w:sz w:val="18"/>
              </w:rPr>
              <w:t>Next.js Route Handlers on Node.js; TypeScript</w:t>
            </w:r>
          </w:p>
        </w:tc>
        <w:tc>
          <w:tcPr>
            <w:tcW w:type="dxa" w:w="4853"/>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line="259" w:lineRule="auto"/>
            </w:pPr>
            <w:r>
              <w:rPr>
                <w:sz w:val="18"/>
              </w:rPr>
              <w:t>Auth, scan, run lifecycle, worker callbacks, GitHub PR and event stream.</w:t>
            </w:r>
          </w:p>
        </w:tc>
      </w:tr>
      <w:tr>
        <w:trPr>
          <w:cantSplit/>
        </w:trPr>
        <w:tc>
          <w:tcPr>
            <w:tcW w:type="dxa" w:w="1498"/>
            <w:tcBorders>
              <w:top w:val="single" w:sz="4" w:color="D9D9D9"/>
              <w:left w:val="single" w:sz="4" w:color="D9D9D9"/>
              <w:bottom w:val="single" w:sz="4" w:color="D9D9D9"/>
              <w:right w:val="single" w:sz="4" w:color="D9D9D9"/>
            </w:tcBorders>
            <w:tcMar>
              <w:top w:w="95" w:type="dxa"/>
              <w:bottom w:w="95" w:type="dxa"/>
              <w:left w:w="105" w:type="dxa"/>
              <w:right w:w="105" w:type="dxa"/>
            </w:tcMar>
            <w:shd w:fill="F4F6FA"/>
            <w:vAlign w:val="center"/>
          </w:tcPr>
          <w:p>
            <w:pPr>
              <w:spacing w:after="0" w:line="259" w:lineRule="auto"/>
            </w:pPr>
            <w:r>
              <w:rPr>
                <w:sz w:val="18"/>
              </w:rPr>
              <w:t>Worker launcher</w:t>
            </w:r>
          </w:p>
        </w:tc>
        <w:tc>
          <w:tcPr>
            <w:tcW w:type="dxa" w:w="3528"/>
            <w:tcBorders>
              <w:top w:val="single" w:sz="4" w:color="D9D9D9"/>
              <w:left w:val="single" w:sz="4" w:color="D9D9D9"/>
              <w:bottom w:val="single" w:sz="4" w:color="D9D9D9"/>
              <w:right w:val="single" w:sz="4" w:color="D9D9D9"/>
            </w:tcBorders>
            <w:tcMar>
              <w:top w:w="95" w:type="dxa"/>
              <w:bottom w:w="95" w:type="dxa"/>
              <w:left w:w="105" w:type="dxa"/>
              <w:right w:w="105" w:type="dxa"/>
            </w:tcMar>
            <w:shd w:fill="F4F6FA"/>
            <w:vAlign w:val="center"/>
          </w:tcPr>
          <w:p>
            <w:pPr>
              <w:spacing w:after="0" w:line="259" w:lineRule="auto"/>
            </w:pPr>
            <w:r>
              <w:rPr>
                <w:sz w:val="18"/>
              </w:rPr>
              <w:t>Node.js ES module script; Claude CLI</w:t>
            </w:r>
          </w:p>
        </w:tc>
        <w:tc>
          <w:tcPr>
            <w:tcW w:type="dxa" w:w="4853"/>
            <w:tcBorders>
              <w:top w:val="single" w:sz="4" w:color="D9D9D9"/>
              <w:left w:val="single" w:sz="4" w:color="D9D9D9"/>
              <w:bottom w:val="single" w:sz="4" w:color="D9D9D9"/>
              <w:right w:val="single" w:sz="4" w:color="D9D9D9"/>
            </w:tcBorders>
            <w:tcMar>
              <w:top w:w="95" w:type="dxa"/>
              <w:bottom w:w="95" w:type="dxa"/>
              <w:left w:w="105" w:type="dxa"/>
              <w:right w:w="105" w:type="dxa"/>
            </w:tcMar>
            <w:shd w:fill="F4F6FA"/>
            <w:vAlign w:val="center"/>
          </w:tcPr>
          <w:p>
            <w:pPr>
              <w:spacing w:after="0" w:line="259" w:lineRule="auto"/>
            </w:pPr>
            <w:r>
              <w:rPr>
                <w:sz w:val="18"/>
              </w:rPr>
              <w:t>Starts a hidden local agent process from a private work order.</w:t>
            </w:r>
          </w:p>
        </w:tc>
      </w:tr>
      <w:tr>
        <w:trPr>
          <w:cantSplit/>
        </w:trPr>
        <w:tc>
          <w:tcPr>
            <w:tcW w:type="dxa" w:w="1498"/>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line="259" w:lineRule="auto"/>
            </w:pPr>
            <w:r>
              <w:rPr>
                <w:sz w:val="18"/>
              </w:rPr>
              <w:t>External services</w:t>
            </w:r>
          </w:p>
        </w:tc>
        <w:tc>
          <w:tcPr>
            <w:tcW w:type="dxa" w:w="3528"/>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line="259" w:lineRule="auto"/>
            </w:pPr>
            <w:r>
              <w:rPr>
                <w:sz w:val="18"/>
              </w:rPr>
              <w:t>GitHub App and REST API; Daytona</w:t>
            </w:r>
          </w:p>
        </w:tc>
        <w:tc>
          <w:tcPr>
            <w:tcW w:type="dxa" w:w="4853"/>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line="259" w:lineRule="auto"/>
            </w:pPr>
            <w:r>
              <w:rPr>
                <w:sz w:val="18"/>
              </w:rPr>
              <w:t>Repository authorization and PR; isolated migration execution.</w:t>
            </w:r>
          </w:p>
        </w:tc>
      </w:tr>
      <w:tr>
        <w:trPr>
          <w:cantSplit/>
        </w:trPr>
        <w:tc>
          <w:tcPr>
            <w:tcW w:type="dxa" w:w="1498"/>
            <w:tcBorders>
              <w:top w:val="single" w:sz="4" w:color="D9D9D9"/>
              <w:left w:val="single" w:sz="4" w:color="D9D9D9"/>
              <w:bottom w:val="single" w:sz="4" w:color="D9D9D9"/>
              <w:right w:val="single" w:sz="4" w:color="D9D9D9"/>
            </w:tcBorders>
            <w:tcMar>
              <w:top w:w="95" w:type="dxa"/>
              <w:bottom w:w="95" w:type="dxa"/>
              <w:left w:w="105" w:type="dxa"/>
              <w:right w:w="105" w:type="dxa"/>
            </w:tcMar>
            <w:shd w:fill="F4F6FA"/>
            <w:vAlign w:val="center"/>
          </w:tcPr>
          <w:p>
            <w:pPr>
              <w:spacing w:after="0" w:line="259" w:lineRule="auto"/>
            </w:pPr>
            <w:r>
              <w:rPr>
                <w:sz w:val="18"/>
              </w:rPr>
              <w:t>Run storage</w:t>
            </w:r>
          </w:p>
        </w:tc>
        <w:tc>
          <w:tcPr>
            <w:tcW w:type="dxa" w:w="3528"/>
            <w:tcBorders>
              <w:top w:val="single" w:sz="4" w:color="D9D9D9"/>
              <w:left w:val="single" w:sz="4" w:color="D9D9D9"/>
              <w:bottom w:val="single" w:sz="4" w:color="D9D9D9"/>
              <w:right w:val="single" w:sz="4" w:color="D9D9D9"/>
            </w:tcBorders>
            <w:tcMar>
              <w:top w:w="95" w:type="dxa"/>
              <w:bottom w:w="95" w:type="dxa"/>
              <w:left w:w="105" w:type="dxa"/>
              <w:right w:w="105" w:type="dxa"/>
            </w:tcMar>
            <w:shd w:fill="F4F6FA"/>
            <w:vAlign w:val="center"/>
          </w:tcPr>
          <w:p>
            <w:pPr>
              <w:spacing w:after="0" w:line="259" w:lineRule="auto"/>
            </w:pPr>
            <w:r>
              <w:rPr>
                <w:sz w:val="18"/>
              </w:rPr>
              <w:t>Local JSON files under .runtime</w:t>
            </w:r>
          </w:p>
        </w:tc>
        <w:tc>
          <w:tcPr>
            <w:tcW w:type="dxa" w:w="4853"/>
            <w:tcBorders>
              <w:top w:val="single" w:sz="4" w:color="D9D9D9"/>
              <w:left w:val="single" w:sz="4" w:color="D9D9D9"/>
              <w:bottom w:val="single" w:sz="4" w:color="D9D9D9"/>
              <w:right w:val="single" w:sz="4" w:color="D9D9D9"/>
            </w:tcBorders>
            <w:tcMar>
              <w:top w:w="95" w:type="dxa"/>
              <w:bottom w:w="95" w:type="dxa"/>
              <w:left w:w="105" w:type="dxa"/>
              <w:right w:w="105" w:type="dxa"/>
            </w:tcMar>
            <w:shd w:fill="F4F6FA"/>
            <w:vAlign w:val="center"/>
          </w:tcPr>
          <w:p>
            <w:pPr>
              <w:spacing w:after="0" w:line="259" w:lineRule="auto"/>
            </w:pPr>
            <w:r>
              <w:rPr>
                <w:sz w:val="18"/>
              </w:rPr>
              <w:t>Prototype run records and work orders; no database in this app.</w:t>
            </w:r>
          </w:p>
        </w:tc>
      </w:tr>
    </w:tbl>
    <w:p>
      <w:pPr>
        <w:spacing w:after="0"/>
      </w:pPr>
    </w:p>
    <w:p>
      <w:pPr>
        <w:pStyle w:val="Heading1"/>
      </w:pPr>
      <w:r>
        <w:t>Target project and verification technologies</w:t>
      </w:r>
    </w:p>
    <w:p>
      <w:r>
        <w:t>The code being modernized is separate from VeriModern's implementation stack. The POC question is language-agnostic, while its current validated example is a Maven Java project moving from Java 8 to Java 21. Maven and project tests, including any JUnit suite already present, run inside the sandbox. Java is the demonstrated target language, not the language of the web application's backend. A successful compilation on a later JDK is not proof that tests ran on an exact JDK 21 runtime; that evidence must be recorded separately.</w:t>
      </w:r>
    </w:p>
    <w:p>
      <w:r>
        <w:br w:type="page"/>
      </w:r>
    </w:p>
    <w:p>
      <w:pPr>
        <w:pStyle w:val="Heading1"/>
      </w:pPr>
      <w:r>
        <w:t>Data and security boundaries</w:t>
      </w:r>
    </w:p>
    <w:tbl>
      <w:tblPr>
        <w:tblStyle w:val="TableGrid"/>
        <w:tblW w:type="auto" w:w="0"/>
        <w:tblLayout w:type="fixed"/>
        <w:tblLook w:firstColumn="1" w:firstRow="1" w:lastColumn="0" w:lastRow="0" w:noHBand="0" w:noVBand="1" w:val="04A0"/>
      </w:tblPr>
      <w:tblGrid>
        <w:gridCol w:w="1642"/>
        <w:gridCol w:w="4248"/>
        <w:gridCol w:w="3989"/>
      </w:tblGrid>
      <w:tr>
        <w:trPr>
          <w:tblHeader w:val="true"/>
          <w:cantSplit/>
        </w:trPr>
        <w:tc>
          <w:tcPr>
            <w:tcW w:type="dxa" w:w="1642"/>
            <w:shd w:fill="263A59"/>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pPr>
            <w:r>
              <w:rPr>
                <w:b/>
                <w:color w:val="FFFFFF"/>
                <w:sz w:val="18"/>
              </w:rPr>
              <w:t>Boundary</w:t>
            </w:r>
          </w:p>
        </w:tc>
        <w:tc>
          <w:tcPr>
            <w:tcW w:type="dxa" w:w="4248"/>
            <w:shd w:fill="263A59"/>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pPr>
            <w:r>
              <w:rPr>
                <w:b/>
                <w:color w:val="FFFFFF"/>
                <w:sz w:val="18"/>
              </w:rPr>
              <w:t>Current mechanism</w:t>
            </w:r>
          </w:p>
        </w:tc>
        <w:tc>
          <w:tcPr>
            <w:tcW w:type="dxa" w:w="3989"/>
            <w:shd w:fill="263A59"/>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pPr>
            <w:r>
              <w:rPr>
                <w:b/>
                <w:color w:val="FFFFFF"/>
                <w:sz w:val="18"/>
              </w:rPr>
              <w:t>Implication</w:t>
            </w:r>
          </w:p>
        </w:tc>
      </w:tr>
      <w:tr>
        <w:trPr>
          <w:cantSplit/>
        </w:trPr>
        <w:tc>
          <w:tcPr>
            <w:tcW w:type="dxa" w:w="1642"/>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line="259" w:lineRule="auto"/>
            </w:pPr>
            <w:r>
              <w:rPr>
                <w:sz w:val="18"/>
              </w:rPr>
              <w:t>Browser to app</w:t>
            </w:r>
          </w:p>
        </w:tc>
        <w:tc>
          <w:tcPr>
            <w:tcW w:type="dxa" w:w="4248"/>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line="259" w:lineRule="auto"/>
            </w:pPr>
            <w:r>
              <w:rPr>
                <w:sz w:val="18"/>
              </w:rPr>
              <w:t>Signed, HTTP-only session cookie after GitHub installation access check.</w:t>
            </w:r>
          </w:p>
        </w:tc>
        <w:tc>
          <w:tcPr>
            <w:tcW w:type="dxa" w:w="3989"/>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line="259" w:lineRule="auto"/>
            </w:pPr>
            <w:r>
              <w:rPr>
                <w:sz w:val="18"/>
              </w:rPr>
              <w:t>Browser receives run progress and results, not installation tokens or worker secrets.</w:t>
            </w:r>
          </w:p>
        </w:tc>
      </w:tr>
      <w:tr>
        <w:trPr>
          <w:cantSplit/>
        </w:trPr>
        <w:tc>
          <w:tcPr>
            <w:tcW w:type="dxa" w:w="1642"/>
            <w:tcBorders>
              <w:top w:val="single" w:sz="4" w:color="D9D9D9"/>
              <w:left w:val="single" w:sz="4" w:color="D9D9D9"/>
              <w:bottom w:val="single" w:sz="4" w:color="D9D9D9"/>
              <w:right w:val="single" w:sz="4" w:color="D9D9D9"/>
            </w:tcBorders>
            <w:tcMar>
              <w:top w:w="95" w:type="dxa"/>
              <w:bottom w:w="95" w:type="dxa"/>
              <w:left w:w="105" w:type="dxa"/>
              <w:right w:w="105" w:type="dxa"/>
            </w:tcMar>
            <w:shd w:fill="F4F6FA"/>
            <w:vAlign w:val="center"/>
          </w:tcPr>
          <w:p>
            <w:pPr>
              <w:spacing w:after="0" w:line="259" w:lineRule="auto"/>
            </w:pPr>
            <w:r>
              <w:rPr>
                <w:sz w:val="18"/>
              </w:rPr>
              <w:t>App to GitHub</w:t>
            </w:r>
          </w:p>
        </w:tc>
        <w:tc>
          <w:tcPr>
            <w:tcW w:type="dxa" w:w="4248"/>
            <w:tcBorders>
              <w:top w:val="single" w:sz="4" w:color="D9D9D9"/>
              <w:left w:val="single" w:sz="4" w:color="D9D9D9"/>
              <w:bottom w:val="single" w:sz="4" w:color="D9D9D9"/>
              <w:right w:val="single" w:sz="4" w:color="D9D9D9"/>
            </w:tcBorders>
            <w:tcMar>
              <w:top w:w="95" w:type="dxa"/>
              <w:bottom w:w="95" w:type="dxa"/>
              <w:left w:w="105" w:type="dxa"/>
              <w:right w:w="105" w:type="dxa"/>
            </w:tcMar>
            <w:shd w:fill="F4F6FA"/>
            <w:vAlign w:val="center"/>
          </w:tcPr>
          <w:p>
            <w:pPr>
              <w:spacing w:after="0" w:line="259" w:lineRule="auto"/>
            </w:pPr>
            <w:r>
              <w:rPr>
                <w:sz w:val="18"/>
              </w:rPr>
              <w:t>GitHub App JWT exchanges for installation access tokens.</w:t>
            </w:r>
          </w:p>
        </w:tc>
        <w:tc>
          <w:tcPr>
            <w:tcW w:type="dxa" w:w="3989"/>
            <w:tcBorders>
              <w:top w:val="single" w:sz="4" w:color="D9D9D9"/>
              <w:left w:val="single" w:sz="4" w:color="D9D9D9"/>
              <w:bottom w:val="single" w:sz="4" w:color="D9D9D9"/>
              <w:right w:val="single" w:sz="4" w:color="D9D9D9"/>
            </w:tcBorders>
            <w:tcMar>
              <w:top w:w="95" w:type="dxa"/>
              <w:bottom w:w="95" w:type="dxa"/>
              <w:left w:w="105" w:type="dxa"/>
              <w:right w:w="105" w:type="dxa"/>
            </w:tcMar>
            <w:shd w:fill="F4F6FA"/>
            <w:vAlign w:val="center"/>
          </w:tcPr>
          <w:p>
            <w:pPr>
              <w:spacing w:after="0" w:line="259" w:lineRule="auto"/>
            </w:pPr>
            <w:r>
              <w:rPr>
                <w:sz w:val="18"/>
              </w:rPr>
              <w:t>Repository read and PR operations use installation-scoped authority.</w:t>
            </w:r>
          </w:p>
        </w:tc>
      </w:tr>
      <w:tr>
        <w:trPr>
          <w:cantSplit/>
        </w:trPr>
        <w:tc>
          <w:tcPr>
            <w:tcW w:type="dxa" w:w="1642"/>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line="259" w:lineRule="auto"/>
            </w:pPr>
            <w:r>
              <w:rPr>
                <w:sz w:val="18"/>
              </w:rPr>
              <w:t>App to worker</w:t>
            </w:r>
          </w:p>
        </w:tc>
        <w:tc>
          <w:tcPr>
            <w:tcW w:type="dxa" w:w="4248"/>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line="259" w:lineRule="auto"/>
            </w:pPr>
            <w:r>
              <w:rPr>
                <w:sz w:val="18"/>
              </w:rPr>
              <w:t>Private 0600 work order and run-specific worker token.</w:t>
            </w:r>
          </w:p>
        </w:tc>
        <w:tc>
          <w:tcPr>
            <w:tcW w:type="dxa" w:w="3989"/>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line="259" w:lineRule="auto"/>
            </w:pPr>
            <w:r>
              <w:rPr>
                <w:sz w:val="18"/>
              </w:rPr>
              <w:t>Callbacks and credential redemption are tied to the run; local file protection matters.</w:t>
            </w:r>
          </w:p>
        </w:tc>
      </w:tr>
      <w:tr>
        <w:trPr>
          <w:cantSplit/>
        </w:trPr>
        <w:tc>
          <w:tcPr>
            <w:tcW w:type="dxa" w:w="1642"/>
            <w:tcBorders>
              <w:top w:val="single" w:sz="4" w:color="D9D9D9"/>
              <w:left w:val="single" w:sz="4" w:color="D9D9D9"/>
              <w:bottom w:val="single" w:sz="4" w:color="D9D9D9"/>
              <w:right w:val="single" w:sz="4" w:color="D9D9D9"/>
            </w:tcBorders>
            <w:tcMar>
              <w:top w:w="95" w:type="dxa"/>
              <w:bottom w:w="95" w:type="dxa"/>
              <w:left w:w="105" w:type="dxa"/>
              <w:right w:w="105" w:type="dxa"/>
            </w:tcMar>
            <w:shd w:fill="F4F6FA"/>
            <w:vAlign w:val="center"/>
          </w:tcPr>
          <w:p>
            <w:pPr>
              <w:spacing w:after="0" w:line="259" w:lineRule="auto"/>
            </w:pPr>
            <w:r>
              <w:rPr>
                <w:sz w:val="18"/>
              </w:rPr>
              <w:t>Worker to Daytona</w:t>
            </w:r>
          </w:p>
        </w:tc>
        <w:tc>
          <w:tcPr>
            <w:tcW w:type="dxa" w:w="4248"/>
            <w:tcBorders>
              <w:top w:val="single" w:sz="4" w:color="D9D9D9"/>
              <w:left w:val="single" w:sz="4" w:color="D9D9D9"/>
              <w:bottom w:val="single" w:sz="4" w:color="D9D9D9"/>
              <w:right w:val="single" w:sz="4" w:color="D9D9D9"/>
            </w:tcBorders>
            <w:tcMar>
              <w:top w:w="95" w:type="dxa"/>
              <w:bottom w:w="95" w:type="dxa"/>
              <w:left w:w="105" w:type="dxa"/>
              <w:right w:w="105" w:type="dxa"/>
            </w:tcMar>
            <w:shd w:fill="F4F6FA"/>
            <w:vAlign w:val="center"/>
          </w:tcPr>
          <w:p>
            <w:pPr>
              <w:spacing w:after="0" w:line="259" w:lineRule="auto"/>
            </w:pPr>
            <w:r>
              <w:rPr>
                <w:sz w:val="18"/>
              </w:rPr>
              <w:t>Short-lived token passed as an ephemeral command environment value.</w:t>
            </w:r>
          </w:p>
        </w:tc>
        <w:tc>
          <w:tcPr>
            <w:tcW w:type="dxa" w:w="3989"/>
            <w:tcBorders>
              <w:top w:val="single" w:sz="4" w:color="D9D9D9"/>
              <w:left w:val="single" w:sz="4" w:color="D9D9D9"/>
              <w:bottom w:val="single" w:sz="4" w:color="D9D9D9"/>
              <w:right w:val="single" w:sz="4" w:color="D9D9D9"/>
            </w:tcBorders>
            <w:tcMar>
              <w:top w:w="95" w:type="dxa"/>
              <w:bottom w:w="95" w:type="dxa"/>
              <w:left w:w="105" w:type="dxa"/>
              <w:right w:w="105" w:type="dxa"/>
            </w:tcMar>
            <w:shd w:fill="F4F6FA"/>
            <w:vAlign w:val="center"/>
          </w:tcPr>
          <w:p>
            <w:pPr>
              <w:spacing w:after="0" w:line="259" w:lineRule="auto"/>
            </w:pPr>
            <w:r>
              <w:rPr>
                <w:sz w:val="18"/>
              </w:rPr>
              <w:t>Clone and push happen in the sandbox; token must not enter Git config, logs or PR text.</w:t>
            </w:r>
          </w:p>
        </w:tc>
      </w:tr>
      <w:tr>
        <w:trPr>
          <w:cantSplit/>
        </w:trPr>
        <w:tc>
          <w:tcPr>
            <w:tcW w:type="dxa" w:w="1642"/>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line="259" w:lineRule="auto"/>
            </w:pPr>
            <w:r>
              <w:rPr>
                <w:sz w:val="18"/>
              </w:rPr>
              <w:t>App to browser</w:t>
            </w:r>
          </w:p>
        </w:tc>
        <w:tc>
          <w:tcPr>
            <w:tcW w:type="dxa" w:w="4248"/>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line="259" w:lineRule="auto"/>
            </w:pPr>
            <w:r>
              <w:rPr>
                <w:sz w:val="18"/>
              </w:rPr>
              <w:t>Server-sent events return a redacted run record.</w:t>
            </w:r>
          </w:p>
        </w:tc>
        <w:tc>
          <w:tcPr>
            <w:tcW w:type="dxa" w:w="3989"/>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line="259" w:lineRule="auto"/>
            </w:pPr>
            <w:r>
              <w:rPr>
                <w:sz w:val="18"/>
              </w:rPr>
              <w:t>Live status can be displayed without exposing the worker token.</w:t>
            </w:r>
          </w:p>
        </w:tc>
      </w:tr>
    </w:tbl>
    <w:p>
      <w:pPr>
        <w:spacing w:after="0"/>
      </w:pPr>
    </w:p>
    <w:p>
      <w:r>
        <w:t>Run state currently resides in a local JSON file. This is suitable for a controlled prototype, but not a resilient multi-instance production service: concurrent writes, worker recovery, retention, auditing and secret lifecycle need stronger infrastructure.</w:t>
      </w:r>
    </w:p>
    <w:p>
      <w:pPr>
        <w:pStyle w:val="Heading1"/>
      </w:pPr>
      <w:r>
        <w:t>Version discovery and user scope</w:t>
      </w:r>
    </w:p>
    <w:p>
      <w:r>
        <w:t>The scanner lists tracked paths from GitHub and inspects recognized manifests. It currently parses Java pom.xml, Node package.json engine declarations, Python pyproject.toml or requirements declarations, and Go go.mod. The scan is bounded to 500 tracked blobs and 40 manifest candidates. The UI can select the full repository or specific tracked files; folder selection is not implemented. A detected version is evidence of a declaration, not a guarantee that the repository builds or that a migration adapter exists. For non-Java options, a latest target may remain unresolved and needs validation before production use.</w:t>
      </w:r>
    </w:p>
    <w:p>
      <w:pPr>
        <w:pStyle w:val="Heading1"/>
      </w:pPr>
      <w:r>
        <w:t>Current status and production direction</w:t>
      </w:r>
    </w:p>
    <w:tbl>
      <w:tblPr>
        <w:tblStyle w:val="TableGrid"/>
        <w:tblW w:type="auto" w:w="0"/>
        <w:tblLayout w:type="fixed"/>
        <w:tblLook w:firstColumn="1" w:firstRow="1" w:lastColumn="0" w:lastRow="0" w:noHBand="0" w:noVBand="1" w:val="04A0"/>
      </w:tblPr>
      <w:tblGrid>
        <w:gridCol w:w="1584"/>
        <w:gridCol w:w="3888"/>
        <w:gridCol w:w="4406"/>
      </w:tblGrid>
      <w:tr>
        <w:trPr>
          <w:tblHeader w:val="true"/>
          <w:cantSplit/>
        </w:trPr>
        <w:tc>
          <w:tcPr>
            <w:tcW w:type="dxa" w:w="1584"/>
            <w:shd w:fill="263A59"/>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pPr>
            <w:r>
              <w:rPr>
                <w:b/>
                <w:color w:val="FFFFFF"/>
                <w:sz w:val="18"/>
              </w:rPr>
              <w:t>Area</w:t>
            </w:r>
          </w:p>
        </w:tc>
        <w:tc>
          <w:tcPr>
            <w:tcW w:type="dxa" w:w="3888"/>
            <w:shd w:fill="263A59"/>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pPr>
            <w:r>
              <w:rPr>
                <w:b/>
                <w:color w:val="FFFFFF"/>
                <w:sz w:val="18"/>
              </w:rPr>
              <w:t>Current prototype</w:t>
            </w:r>
          </w:p>
        </w:tc>
        <w:tc>
          <w:tcPr>
            <w:tcW w:type="dxa" w:w="4406"/>
            <w:shd w:fill="263A59"/>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pPr>
            <w:r>
              <w:rPr>
                <w:b/>
                <w:color w:val="FFFFFF"/>
                <w:sz w:val="18"/>
              </w:rPr>
              <w:t>Production requirement</w:t>
            </w:r>
          </w:p>
        </w:tc>
      </w:tr>
      <w:tr>
        <w:trPr>
          <w:cantSplit/>
        </w:trPr>
        <w:tc>
          <w:tcPr>
            <w:tcW w:type="dxa" w:w="1584"/>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line="259" w:lineRule="auto"/>
            </w:pPr>
            <w:r>
              <w:rPr>
                <w:sz w:val="18"/>
              </w:rPr>
              <w:t>Agent placement</w:t>
            </w:r>
          </w:p>
        </w:tc>
        <w:tc>
          <w:tcPr>
            <w:tcW w:type="dxa" w:w="3888"/>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line="259" w:lineRule="auto"/>
            </w:pPr>
            <w:r>
              <w:rPr>
                <w:sz w:val="18"/>
              </w:rPr>
              <w:t>Claude CLI runs headlessly on the local Mac and controls Daytona.</w:t>
            </w:r>
          </w:p>
        </w:tc>
        <w:tc>
          <w:tcPr>
            <w:tcW w:type="dxa" w:w="4406"/>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line="259" w:lineRule="auto"/>
            </w:pPr>
            <w:r>
              <w:rPr>
                <w:sz w:val="18"/>
              </w:rPr>
              <w:t>Run the agent within an isolated, queue-managed sandbox or equivalent trusted worker.</w:t>
            </w:r>
          </w:p>
        </w:tc>
      </w:tr>
      <w:tr>
        <w:trPr>
          <w:cantSplit/>
        </w:trPr>
        <w:tc>
          <w:tcPr>
            <w:tcW w:type="dxa" w:w="1584"/>
            <w:tcBorders>
              <w:top w:val="single" w:sz="4" w:color="D9D9D9"/>
              <w:left w:val="single" w:sz="4" w:color="D9D9D9"/>
              <w:bottom w:val="single" w:sz="4" w:color="D9D9D9"/>
              <w:right w:val="single" w:sz="4" w:color="D9D9D9"/>
            </w:tcBorders>
            <w:tcMar>
              <w:top w:w="95" w:type="dxa"/>
              <w:bottom w:w="95" w:type="dxa"/>
              <w:left w:w="105" w:type="dxa"/>
              <w:right w:w="105" w:type="dxa"/>
            </w:tcMar>
            <w:shd w:fill="F4F6FA"/>
            <w:vAlign w:val="center"/>
          </w:tcPr>
          <w:p>
            <w:pPr>
              <w:spacing w:after="0" w:line="259" w:lineRule="auto"/>
            </w:pPr>
            <w:r>
              <w:rPr>
                <w:sz w:val="18"/>
              </w:rPr>
              <w:t>Persistence</w:t>
            </w:r>
          </w:p>
        </w:tc>
        <w:tc>
          <w:tcPr>
            <w:tcW w:type="dxa" w:w="3888"/>
            <w:tcBorders>
              <w:top w:val="single" w:sz="4" w:color="D9D9D9"/>
              <w:left w:val="single" w:sz="4" w:color="D9D9D9"/>
              <w:bottom w:val="single" w:sz="4" w:color="D9D9D9"/>
              <w:right w:val="single" w:sz="4" w:color="D9D9D9"/>
            </w:tcBorders>
            <w:tcMar>
              <w:top w:w="95" w:type="dxa"/>
              <w:bottom w:w="95" w:type="dxa"/>
              <w:left w:w="105" w:type="dxa"/>
              <w:right w:w="105" w:type="dxa"/>
            </w:tcMar>
            <w:shd w:fill="F4F6FA"/>
            <w:vAlign w:val="center"/>
          </w:tcPr>
          <w:p>
            <w:pPr>
              <w:spacing w:after="0" w:line="259" w:lineRule="auto"/>
            </w:pPr>
            <w:r>
              <w:rPr>
                <w:sz w:val="18"/>
              </w:rPr>
              <w:t>Local JSON run store and work-order files.</w:t>
            </w:r>
          </w:p>
        </w:tc>
        <w:tc>
          <w:tcPr>
            <w:tcW w:type="dxa" w:w="4406"/>
            <w:tcBorders>
              <w:top w:val="single" w:sz="4" w:color="D9D9D9"/>
              <w:left w:val="single" w:sz="4" w:color="D9D9D9"/>
              <w:bottom w:val="single" w:sz="4" w:color="D9D9D9"/>
              <w:right w:val="single" w:sz="4" w:color="D9D9D9"/>
            </w:tcBorders>
            <w:tcMar>
              <w:top w:w="95" w:type="dxa"/>
              <w:bottom w:w="95" w:type="dxa"/>
              <w:left w:w="105" w:type="dxa"/>
              <w:right w:w="105" w:type="dxa"/>
            </w:tcMar>
            <w:shd w:fill="F4F6FA"/>
            <w:vAlign w:val="center"/>
          </w:tcPr>
          <w:p>
            <w:pPr>
              <w:spacing w:after="0" w:line="259" w:lineRule="auto"/>
            </w:pPr>
            <w:r>
              <w:rPr>
                <w:sz w:val="18"/>
              </w:rPr>
              <w:t>Durable database, job queue, idempotent callbacks, retention and recovery.</w:t>
            </w:r>
          </w:p>
        </w:tc>
      </w:tr>
      <w:tr>
        <w:trPr>
          <w:cantSplit/>
        </w:trPr>
        <w:tc>
          <w:tcPr>
            <w:tcW w:type="dxa" w:w="1584"/>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line="259" w:lineRule="auto"/>
            </w:pPr>
            <w:r>
              <w:rPr>
                <w:sz w:val="18"/>
              </w:rPr>
              <w:t>Language support</w:t>
            </w:r>
          </w:p>
        </w:tc>
        <w:tc>
          <w:tcPr>
            <w:tcW w:type="dxa" w:w="3888"/>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line="259" w:lineRule="auto"/>
            </w:pPr>
            <w:r>
              <w:rPr>
                <w:sz w:val="18"/>
              </w:rPr>
              <w:t>Multi-language manifest detection; one Maven Java 8 to 21 case study.</w:t>
            </w:r>
          </w:p>
        </w:tc>
        <w:tc>
          <w:tcPr>
            <w:tcW w:type="dxa" w:w="4406"/>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line="259" w:lineRule="auto"/>
            </w:pPr>
            <w:r>
              <w:rPr>
                <w:sz w:val="18"/>
              </w:rPr>
              <w:t>Validated adapters, supported-version matrix and tests for each language path.</w:t>
            </w:r>
          </w:p>
        </w:tc>
      </w:tr>
      <w:tr>
        <w:trPr>
          <w:cantSplit/>
        </w:trPr>
        <w:tc>
          <w:tcPr>
            <w:tcW w:type="dxa" w:w="1584"/>
            <w:tcBorders>
              <w:top w:val="single" w:sz="4" w:color="D9D9D9"/>
              <w:left w:val="single" w:sz="4" w:color="D9D9D9"/>
              <w:bottom w:val="single" w:sz="4" w:color="D9D9D9"/>
              <w:right w:val="single" w:sz="4" w:color="D9D9D9"/>
            </w:tcBorders>
            <w:tcMar>
              <w:top w:w="95" w:type="dxa"/>
              <w:bottom w:w="95" w:type="dxa"/>
              <w:left w:w="105" w:type="dxa"/>
              <w:right w:w="105" w:type="dxa"/>
            </w:tcMar>
            <w:shd w:fill="F4F6FA"/>
            <w:vAlign w:val="center"/>
          </w:tcPr>
          <w:p>
            <w:pPr>
              <w:spacing w:after="0" w:line="259" w:lineRule="auto"/>
            </w:pPr>
            <w:r>
              <w:rPr>
                <w:sz w:val="18"/>
              </w:rPr>
              <w:t>Behavior evidence</w:t>
            </w:r>
          </w:p>
        </w:tc>
        <w:tc>
          <w:tcPr>
            <w:tcW w:type="dxa" w:w="3888"/>
            <w:tcBorders>
              <w:top w:val="single" w:sz="4" w:color="D9D9D9"/>
              <w:left w:val="single" w:sz="4" w:color="D9D9D9"/>
              <w:bottom w:val="single" w:sz="4" w:color="D9D9D9"/>
              <w:right w:val="single" w:sz="4" w:color="D9D9D9"/>
            </w:tcBorders>
            <w:tcMar>
              <w:top w:w="95" w:type="dxa"/>
              <w:bottom w:w="95" w:type="dxa"/>
              <w:left w:w="105" w:type="dxa"/>
              <w:right w:w="105" w:type="dxa"/>
            </w:tcMar>
            <w:shd w:fill="F4F6FA"/>
            <w:vAlign w:val="center"/>
          </w:tcPr>
          <w:p>
            <w:pPr>
              <w:spacing w:after="0" w:line="259" w:lineRule="auto"/>
            </w:pPr>
            <w:r>
              <w:rPr>
                <w:sz w:val="18"/>
              </w:rPr>
              <w:t>Baseline and final build/test steps directed to the worker.</w:t>
            </w:r>
          </w:p>
        </w:tc>
        <w:tc>
          <w:tcPr>
            <w:tcW w:type="dxa" w:w="4406"/>
            <w:tcBorders>
              <w:top w:val="single" w:sz="4" w:color="D9D9D9"/>
              <w:left w:val="single" w:sz="4" w:color="D9D9D9"/>
              <w:bottom w:val="single" w:sz="4" w:color="D9D9D9"/>
              <w:right w:val="single" w:sz="4" w:color="D9D9D9"/>
            </w:tcBorders>
            <w:tcMar>
              <w:top w:w="95" w:type="dxa"/>
              <w:bottom w:w="95" w:type="dxa"/>
              <w:left w:w="105" w:type="dxa"/>
              <w:right w:w="105" w:type="dxa"/>
            </w:tcMar>
            <w:shd w:fill="F4F6FA"/>
            <w:vAlign w:val="center"/>
          </w:tcPr>
          <w:p>
            <w:pPr>
              <w:spacing w:after="0" w:line="259" w:lineRule="auto"/>
            </w:pPr>
            <w:r>
              <w:rPr>
                <w:sz w:val="18"/>
              </w:rPr>
              <w:t>Automatic characterization-test generation, behavioral comparison and exact target-runtime execution.</w:t>
            </w:r>
          </w:p>
        </w:tc>
      </w:tr>
      <w:tr>
        <w:trPr>
          <w:cantSplit/>
        </w:trPr>
        <w:tc>
          <w:tcPr>
            <w:tcW w:type="dxa" w:w="1584"/>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line="259" w:lineRule="auto"/>
            </w:pPr>
            <w:r>
              <w:rPr>
                <w:sz w:val="18"/>
              </w:rPr>
              <w:t>Policy</w:t>
            </w:r>
          </w:p>
        </w:tc>
        <w:tc>
          <w:tcPr>
            <w:tcW w:type="dxa" w:w="3888"/>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line="259" w:lineRule="auto"/>
            </w:pPr>
            <w:r>
              <w:rPr>
                <w:sz w:val="18"/>
              </w:rPr>
              <w:t>Worker instructions constrain scope and report results.</w:t>
            </w:r>
          </w:p>
        </w:tc>
        <w:tc>
          <w:tcPr>
            <w:tcW w:type="dxa" w:w="4406"/>
            <w:tcBorders>
              <w:top w:val="single" w:sz="4" w:color="D9D9D9"/>
              <w:left w:val="single" w:sz="4" w:color="D9D9D9"/>
              <w:bottom w:val="single" w:sz="4" w:color="D9D9D9"/>
              <w:right w:val="single" w:sz="4" w:color="D9D9D9"/>
            </w:tcBorders>
            <w:tcMar>
              <w:top w:w="95" w:type="dxa"/>
              <w:bottom w:w="95" w:type="dxa"/>
              <w:left w:w="105" w:type="dxa"/>
              <w:right w:w="105" w:type="dxa"/>
            </w:tcMar>
            <w:vAlign w:val="center"/>
          </w:tcPr>
          <w:p>
            <w:pPr>
              <w:spacing w:after="0" w:line="259" w:lineRule="auto"/>
            </w:pPr>
            <w:r>
              <w:rPr>
                <w:sz w:val="18"/>
              </w:rPr>
              <w:t>Server-side diff policy, secret handling, audit trail and failure/retry controls.</w:t>
            </w:r>
          </w:p>
        </w:tc>
      </w:tr>
    </w:tbl>
    <w:p>
      <w:pPr>
        <w:spacing w:after="0"/>
      </w:pPr>
    </w:p>
    <w:p>
      <w:pPr>
        <w:spacing w:before="160"/>
      </w:pPr>
      <w:r>
        <w:rPr>
          <w:i/>
          <w:sz w:val="17"/>
        </w:rPr>
        <w:t>Implementation basis: modernization-webapp/package.json, src/app/page.tsx, src/lib, src/app/api and scripts/run-claude-work-order.mjs. Reviewed 12 October 2026.</w:t>
      </w:r>
    </w:p>
    <w:sectPr w:rsidR="00FC693F" w:rsidRPr="0006063C" w:rsidSect="00034616">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2026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b/>
      <w:bCs/>
      <w:color w:val="000000"/>
      <w:sz w:val="29"/>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