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1958" w14:textId="65A50751" w:rsidR="004B4E5A" w:rsidRDefault="00754E06" w:rsidP="004B4E5A">
      <w:pPr>
        <w:ind w:left="-284" w:right="-188" w:firstLine="0"/>
        <w:jc w:val="center"/>
        <w:rPr>
          <w:rFonts w:eastAsia="Arial"/>
          <w:color w:val="2E4057"/>
          <w:sz w:val="48"/>
          <w:szCs w:val="48"/>
        </w:rPr>
      </w:pPr>
      <w:r w:rsidRPr="005401CE">
        <w:rPr>
          <w:rFonts w:eastAsia="Arial"/>
          <w:color w:val="2E4057"/>
          <w:sz w:val="48"/>
          <w:szCs w:val="48"/>
        </w:rPr>
        <w:t>Carbonlens :</w:t>
      </w:r>
      <w:r w:rsidRPr="005401CE">
        <w:rPr>
          <w:sz w:val="48"/>
          <w:szCs w:val="48"/>
        </w:rPr>
        <w:t xml:space="preserve"> </w:t>
      </w:r>
      <w:r w:rsidRPr="005401CE">
        <w:rPr>
          <w:rFonts w:eastAsia="Arial"/>
          <w:color w:val="2E4057"/>
          <w:sz w:val="48"/>
          <w:szCs w:val="48"/>
        </w:rPr>
        <w:t xml:space="preserve">An AI-Powered Carbon </w:t>
      </w:r>
      <w:r w:rsidR="00FC3874" w:rsidRPr="005401CE">
        <w:rPr>
          <w:rFonts w:eastAsia="Arial"/>
          <w:color w:val="2E4057"/>
          <w:sz w:val="48"/>
          <w:szCs w:val="48"/>
        </w:rPr>
        <w:t>Footprint Tracking</w:t>
      </w:r>
      <w:r w:rsidRPr="005401CE">
        <w:rPr>
          <w:rFonts w:eastAsia="Arial"/>
          <w:color w:val="2E4057"/>
          <w:sz w:val="48"/>
          <w:szCs w:val="48"/>
        </w:rPr>
        <w:t xml:space="preserve"> and</w:t>
      </w:r>
      <w:r w:rsidR="00FC3874" w:rsidRPr="005401CE">
        <w:rPr>
          <w:rFonts w:eastAsia="Arial"/>
          <w:color w:val="2E4057"/>
          <w:sz w:val="48"/>
          <w:szCs w:val="48"/>
        </w:rPr>
        <w:t xml:space="preserve"> </w:t>
      </w:r>
      <w:r w:rsidRPr="005401CE">
        <w:rPr>
          <w:rFonts w:eastAsia="Arial"/>
          <w:color w:val="2E4057"/>
          <w:sz w:val="48"/>
          <w:szCs w:val="48"/>
        </w:rPr>
        <w:t>Sustainabilit</w:t>
      </w:r>
      <w:r w:rsidR="00FC3874" w:rsidRPr="005401CE">
        <w:rPr>
          <w:rFonts w:eastAsia="Arial"/>
          <w:color w:val="2E4057"/>
          <w:sz w:val="48"/>
          <w:szCs w:val="48"/>
        </w:rPr>
        <w:t xml:space="preserve">y </w:t>
      </w:r>
      <w:r w:rsidRPr="005401CE">
        <w:rPr>
          <w:rFonts w:eastAsia="Arial"/>
          <w:color w:val="2E4057"/>
          <w:sz w:val="48"/>
          <w:szCs w:val="48"/>
        </w:rPr>
        <w:t>Recommendation</w:t>
      </w:r>
      <w:r w:rsidR="00FC3874" w:rsidRPr="005401CE">
        <w:rPr>
          <w:rFonts w:eastAsia="Arial"/>
          <w:color w:val="2E4057"/>
          <w:sz w:val="48"/>
          <w:szCs w:val="48"/>
        </w:rPr>
        <w:t xml:space="preserve"> </w:t>
      </w:r>
    </w:p>
    <w:p w14:paraId="7351E37F" w14:textId="12B2D172" w:rsidR="00754E06" w:rsidRPr="005401CE" w:rsidRDefault="00754E06" w:rsidP="004B4E5A">
      <w:pPr>
        <w:spacing w:after="0"/>
        <w:ind w:left="-284" w:right="-188" w:firstLine="0"/>
        <w:jc w:val="center"/>
        <w:rPr>
          <w:rFonts w:eastAsia="Arial"/>
          <w:color w:val="2E4057"/>
          <w:sz w:val="48"/>
          <w:szCs w:val="48"/>
        </w:rPr>
      </w:pPr>
      <w:r w:rsidRPr="005401CE">
        <w:rPr>
          <w:rFonts w:eastAsia="Arial"/>
          <w:color w:val="2E4057"/>
          <w:sz w:val="48"/>
          <w:szCs w:val="48"/>
        </w:rPr>
        <w:t>System</w:t>
      </w:r>
    </w:p>
    <w:p w14:paraId="6AB0E3B5" w14:textId="0A0DBC87" w:rsidR="004B4E5A" w:rsidRDefault="00E45AE1" w:rsidP="005D7B79">
      <w:pPr>
        <w:pStyle w:val="NoSpacing"/>
      </w:pPr>
      <w:r>
        <w:rPr>
          <w:noProof/>
        </w:rPr>
        <mc:AlternateContent>
          <mc:Choice Requires="wps">
            <w:drawing>
              <wp:anchor distT="45720" distB="45720" distL="114300" distR="114300" simplePos="0" relativeHeight="251659264" behindDoc="0" locked="0" layoutInCell="1" allowOverlap="1" wp14:anchorId="14BD56BE" wp14:editId="6E3FA6CC">
                <wp:simplePos x="0" y="0"/>
                <wp:positionH relativeFrom="margin">
                  <wp:align>left</wp:align>
                </wp:positionH>
                <wp:positionV relativeFrom="paragraph">
                  <wp:posOffset>273685</wp:posOffset>
                </wp:positionV>
                <wp:extent cx="6330950" cy="2120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0" cy="2120900"/>
                        </a:xfrm>
                        <a:prstGeom prst="rect">
                          <a:avLst/>
                        </a:prstGeom>
                        <a:solidFill>
                          <a:srgbClr val="FFFFFF"/>
                        </a:solidFill>
                        <a:ln w="9525">
                          <a:noFill/>
                          <a:miter lim="800000"/>
                          <a:headEnd/>
                          <a:tailEnd/>
                        </a:ln>
                      </wps:spPr>
                      <wps:txbx>
                        <w:txbxContent>
                          <w:tbl>
                            <w:tblPr>
                              <w:tblStyle w:val="TableGrid"/>
                              <w:tblW w:w="8773" w:type="dxa"/>
                              <w:tblInd w:w="0" w:type="dxa"/>
                              <w:tblCellMar>
                                <w:top w:w="28" w:type="dxa"/>
                              </w:tblCellMar>
                              <w:tblLook w:val="04A0" w:firstRow="1" w:lastRow="0" w:firstColumn="1" w:lastColumn="0" w:noHBand="0" w:noVBand="1"/>
                            </w:tblPr>
                            <w:tblGrid>
                              <w:gridCol w:w="3519"/>
                              <w:gridCol w:w="3454"/>
                              <w:gridCol w:w="1800"/>
                            </w:tblGrid>
                            <w:tr w:rsidR="00941511" w14:paraId="405917BD" w14:textId="77777777" w:rsidTr="004F5FB2">
                              <w:trPr>
                                <w:trHeight w:val="260"/>
                              </w:trPr>
                              <w:tc>
                                <w:tcPr>
                                  <w:tcW w:w="3519" w:type="dxa"/>
                                  <w:tcBorders>
                                    <w:top w:val="nil"/>
                                    <w:left w:val="nil"/>
                                    <w:bottom w:val="nil"/>
                                    <w:right w:val="nil"/>
                                  </w:tcBorders>
                                </w:tcPr>
                                <w:p w14:paraId="3BF28257" w14:textId="3C2B0977" w:rsidR="00941511" w:rsidRDefault="00941511" w:rsidP="00941511">
                                  <w:pPr>
                                    <w:spacing w:after="0" w:line="259" w:lineRule="auto"/>
                                    <w:ind w:left="0" w:firstLine="0"/>
                                    <w:jc w:val="left"/>
                                  </w:pPr>
                                  <w:r>
                                    <w:rPr>
                                      <w:rFonts w:ascii="Calibri" w:eastAsia="Calibri" w:hAnsi="Calibri" w:cs="Calibri"/>
                                      <w:sz w:val="22"/>
                                    </w:rPr>
                                    <w:t xml:space="preserve"> </w:t>
                                  </w:r>
                                  <w:r>
                                    <w:rPr>
                                      <w:sz w:val="19"/>
                                    </w:rPr>
                                    <w:t xml:space="preserve">                         </w:t>
                                  </w:r>
                                  <w:r w:rsidR="000B3F2B">
                                    <w:t>S</w:t>
                                  </w:r>
                                  <w:r w:rsidR="00D8215A">
                                    <w:t>ejal jain</w:t>
                                  </w:r>
                                  <w:r>
                                    <w:rPr>
                                      <w:vertAlign w:val="superscript"/>
                                    </w:rPr>
                                    <w:t>1</w:t>
                                  </w:r>
                                  <w:r>
                                    <w:t xml:space="preserve">      </w:t>
                                  </w:r>
                                </w:p>
                              </w:tc>
                              <w:tc>
                                <w:tcPr>
                                  <w:tcW w:w="3454" w:type="dxa"/>
                                  <w:tcBorders>
                                    <w:top w:val="nil"/>
                                    <w:left w:val="nil"/>
                                    <w:bottom w:val="nil"/>
                                    <w:right w:val="nil"/>
                                  </w:tcBorders>
                                </w:tcPr>
                                <w:p w14:paraId="617F14FA" w14:textId="4B5D9D45" w:rsidR="00941511" w:rsidRDefault="00941511" w:rsidP="00941511">
                                  <w:pPr>
                                    <w:spacing w:after="0" w:line="259" w:lineRule="auto"/>
                                    <w:ind w:left="0" w:firstLine="0"/>
                                    <w:jc w:val="left"/>
                                  </w:pPr>
                                  <w:r>
                                    <w:rPr>
                                      <w:sz w:val="19"/>
                                    </w:rPr>
                                    <w:t xml:space="preserve">                   </w:t>
                                  </w:r>
                                  <w:r w:rsidR="00D8215A">
                                    <w:t>P</w:t>
                                  </w:r>
                                  <w:r w:rsidR="005D7B79">
                                    <w:t>ranav singh</w:t>
                                  </w:r>
                                  <w:r>
                                    <w:rPr>
                                      <w:vertAlign w:val="superscript"/>
                                    </w:rPr>
                                    <w:t>2</w:t>
                                  </w:r>
                                  <w:r>
                                    <w:t xml:space="preserve">    </w:t>
                                  </w:r>
                                </w:p>
                              </w:tc>
                              <w:tc>
                                <w:tcPr>
                                  <w:tcW w:w="1800" w:type="dxa"/>
                                  <w:tcBorders>
                                    <w:top w:val="nil"/>
                                    <w:left w:val="nil"/>
                                    <w:bottom w:val="nil"/>
                                    <w:right w:val="nil"/>
                                  </w:tcBorders>
                                </w:tcPr>
                                <w:p w14:paraId="63549EB3" w14:textId="52D1DB16" w:rsidR="00941511" w:rsidRDefault="00941511" w:rsidP="00941511">
                                  <w:pPr>
                                    <w:spacing w:after="0" w:line="259" w:lineRule="auto"/>
                                    <w:ind w:left="48" w:firstLine="0"/>
                                    <w:jc w:val="left"/>
                                  </w:pPr>
                                  <w:r>
                                    <w:rPr>
                                      <w:sz w:val="19"/>
                                    </w:rPr>
                                    <w:t xml:space="preserve">         </w:t>
                                  </w:r>
                                  <w:r w:rsidR="005D7B79">
                                    <w:t>Sanskar rathore</w:t>
                                  </w:r>
                                  <w:r>
                                    <w:rPr>
                                      <w:vertAlign w:val="superscript"/>
                                    </w:rPr>
                                    <w:t xml:space="preserve">3 </w:t>
                                  </w:r>
                                  <w:r>
                                    <w:t xml:space="preserve"> </w:t>
                                  </w:r>
                                </w:p>
                              </w:tc>
                            </w:tr>
                            <w:tr w:rsidR="00941511" w14:paraId="493AB6ED" w14:textId="77777777" w:rsidTr="004F5FB2">
                              <w:trPr>
                                <w:trHeight w:val="260"/>
                              </w:trPr>
                              <w:tc>
                                <w:tcPr>
                                  <w:tcW w:w="3519" w:type="dxa"/>
                                  <w:tcBorders>
                                    <w:top w:val="nil"/>
                                    <w:left w:val="nil"/>
                                    <w:bottom w:val="nil"/>
                                    <w:right w:val="nil"/>
                                  </w:tcBorders>
                                </w:tcPr>
                                <w:p w14:paraId="34F077EA" w14:textId="77777777" w:rsidR="00941511" w:rsidRDefault="00941511" w:rsidP="00941511">
                                  <w:pPr>
                                    <w:spacing w:after="0" w:line="259" w:lineRule="auto"/>
                                    <w:ind w:left="0" w:firstLine="0"/>
                                    <w:jc w:val="left"/>
                                  </w:pPr>
                                  <w:r>
                                    <w:rPr>
                                      <w:rFonts w:ascii="Calibri" w:eastAsia="Calibri" w:hAnsi="Calibri" w:cs="Calibri"/>
                                      <w:sz w:val="22"/>
                                    </w:rPr>
                                    <w:t xml:space="preserve"> </w:t>
                                  </w:r>
                                  <w:r>
                                    <w:t xml:space="preserve">                        IT Department   </w:t>
                                  </w:r>
                                </w:p>
                              </w:tc>
                              <w:tc>
                                <w:tcPr>
                                  <w:tcW w:w="3454" w:type="dxa"/>
                                  <w:tcBorders>
                                    <w:top w:val="nil"/>
                                    <w:left w:val="nil"/>
                                    <w:bottom w:val="nil"/>
                                    <w:right w:val="nil"/>
                                  </w:tcBorders>
                                </w:tcPr>
                                <w:p w14:paraId="08352613" w14:textId="77777777" w:rsidR="00941511" w:rsidRDefault="00941511" w:rsidP="00941511">
                                  <w:pPr>
                                    <w:spacing w:after="0" w:line="259" w:lineRule="auto"/>
                                    <w:ind w:left="50" w:firstLine="0"/>
                                    <w:jc w:val="left"/>
                                  </w:pPr>
                                  <w:r>
                                    <w:t xml:space="preserve">                  IT Department   </w:t>
                                  </w:r>
                                </w:p>
                              </w:tc>
                              <w:tc>
                                <w:tcPr>
                                  <w:tcW w:w="1800" w:type="dxa"/>
                                  <w:tcBorders>
                                    <w:top w:val="nil"/>
                                    <w:left w:val="nil"/>
                                    <w:bottom w:val="nil"/>
                                    <w:right w:val="nil"/>
                                  </w:tcBorders>
                                </w:tcPr>
                                <w:p w14:paraId="7A02671D" w14:textId="77777777" w:rsidR="00941511" w:rsidRDefault="00941511" w:rsidP="00941511">
                                  <w:pPr>
                                    <w:spacing w:after="0" w:line="259" w:lineRule="auto"/>
                                    <w:ind w:left="0" w:firstLine="0"/>
                                  </w:pPr>
                                  <w:r>
                                    <w:rPr>
                                      <w:sz w:val="13"/>
                                    </w:rPr>
                                    <w:t xml:space="preserve">               </w:t>
                                  </w:r>
                                  <w:r>
                                    <w:t>IT Department</w:t>
                                  </w:r>
                                  <w:r>
                                    <w:rPr>
                                      <w:sz w:val="13"/>
                                    </w:rPr>
                                    <w:t xml:space="preserve"> </w:t>
                                  </w:r>
                                  <w:r>
                                    <w:t xml:space="preserve">  </w:t>
                                  </w:r>
                                </w:p>
                              </w:tc>
                            </w:tr>
                          </w:tbl>
                          <w:p w14:paraId="6C887172" w14:textId="77777777" w:rsidR="00941511" w:rsidRDefault="00941511" w:rsidP="00941511">
                            <w:pPr>
                              <w:spacing w:after="8"/>
                              <w:ind w:right="38"/>
                            </w:pPr>
                            <w:r>
                              <w:t xml:space="preserve">    Acropolis Institute of Technology &amp;      Acropolis Institute of Technology &amp;     Acropolis Institute of  Technology &amp;    </w:t>
                            </w:r>
                          </w:p>
                          <w:p w14:paraId="497509F7" w14:textId="15F791B6" w:rsidR="00941511" w:rsidRDefault="00941511" w:rsidP="00941511">
                            <w:pPr>
                              <w:spacing w:after="24"/>
                              <w:ind w:left="790" w:right="826"/>
                            </w:pPr>
                            <w:r>
                              <w:t xml:space="preserve">         Research, Indore                                     Research, Indore                                 Research, Indore                        priyanshupatidar230768                           </w:t>
                            </w:r>
                            <w:r w:rsidR="005D7B79">
                              <w:t>pranavsingh230472</w:t>
                            </w:r>
                            <w:r>
                              <w:t xml:space="preserve">                            samayjain230976                                @acropolis.in</w:t>
                            </w:r>
                            <w:r>
                              <w:rPr>
                                <w:sz w:val="17"/>
                              </w:rPr>
                              <w:t xml:space="preserve">  </w:t>
                            </w:r>
                            <w:r>
                              <w:t xml:space="preserve">                                        @acropolis.in</w:t>
                            </w:r>
                            <w:r>
                              <w:rPr>
                                <w:sz w:val="17"/>
                              </w:rPr>
                              <w:t xml:space="preserve">  </w:t>
                            </w:r>
                            <w:r>
                              <w:t xml:space="preserve">                                  @acropolis.in</w:t>
                            </w:r>
                            <w:r>
                              <w:rPr>
                                <w:sz w:val="17"/>
                              </w:rPr>
                              <w:t xml:space="preserve">  </w:t>
                            </w:r>
                            <w:r>
                              <w:t xml:space="preserve"> </w:t>
                            </w:r>
                          </w:p>
                          <w:p w14:paraId="2A0C23C5" w14:textId="77777777" w:rsidR="00941511" w:rsidRDefault="00941511" w:rsidP="00941511">
                            <w:pPr>
                              <w:spacing w:after="35" w:line="259" w:lineRule="auto"/>
                              <w:ind w:left="744" w:firstLine="0"/>
                              <w:jc w:val="center"/>
                            </w:pPr>
                            <w:r>
                              <w:t xml:space="preserve"> </w:t>
                            </w:r>
                            <w:r>
                              <w:rPr>
                                <w:sz w:val="17"/>
                              </w:rPr>
                              <w:t xml:space="preserve"> </w:t>
                            </w:r>
                            <w:r>
                              <w:t xml:space="preserve"> </w:t>
                            </w:r>
                          </w:p>
                          <w:p w14:paraId="2EC50AA5" w14:textId="77777777" w:rsidR="00941511" w:rsidRDefault="00941511" w:rsidP="005D7B79">
                            <w:pPr>
                              <w:tabs>
                                <w:tab w:val="center" w:pos="1999"/>
                                <w:tab w:val="center" w:pos="7131"/>
                              </w:tabs>
                              <w:spacing w:after="0"/>
                              <w:ind w:left="0" w:firstLine="0"/>
                              <w:jc w:val="left"/>
                            </w:pPr>
                            <w:r>
                              <w:rPr>
                                <w:rFonts w:ascii="Calibri" w:eastAsia="Calibri" w:hAnsi="Calibri" w:cs="Calibri"/>
                                <w:sz w:val="22"/>
                              </w:rPr>
                              <w:tab/>
                            </w:r>
                            <w:r>
                              <w:t xml:space="preserve">                                Satyam Thakur</w:t>
                            </w:r>
                            <w:r>
                              <w:rPr>
                                <w:vertAlign w:val="superscript"/>
                              </w:rPr>
                              <w:t xml:space="preserve">4 </w:t>
                            </w:r>
                            <w:r>
                              <w:t xml:space="preserve">  </w:t>
                            </w:r>
                            <w:r>
                              <w:tab/>
                            </w:r>
                            <w:r>
                              <w:rPr>
                                <w:b/>
                              </w:rPr>
                              <w:t>Prof. (Dr.) Brajesh Chaturvedi</w:t>
                            </w:r>
                            <w:r>
                              <w:rPr>
                                <w:b/>
                                <w:sz w:val="17"/>
                                <w:vertAlign w:val="superscript"/>
                              </w:rPr>
                              <w:t>5</w:t>
                            </w:r>
                            <w:r>
                              <w:t xml:space="preserve">  </w:t>
                            </w:r>
                          </w:p>
                          <w:p w14:paraId="583619C2" w14:textId="77777777" w:rsidR="00941511" w:rsidRDefault="00941511" w:rsidP="00941511">
                            <w:pPr>
                              <w:tabs>
                                <w:tab w:val="center" w:pos="1941"/>
                                <w:tab w:val="center" w:pos="6817"/>
                              </w:tabs>
                              <w:spacing w:after="35"/>
                              <w:ind w:left="0" w:firstLine="0"/>
                              <w:jc w:val="left"/>
                            </w:pPr>
                            <w:r>
                              <w:rPr>
                                <w:rFonts w:ascii="Calibri" w:eastAsia="Calibri" w:hAnsi="Calibri" w:cs="Calibri"/>
                                <w:sz w:val="22"/>
                              </w:rPr>
                              <w:tab/>
                            </w:r>
                            <w:r>
                              <w:t xml:space="preserve">                                IT Department   </w:t>
                            </w:r>
                            <w:r>
                              <w:tab/>
                              <w:t xml:space="preserve">              IT Department   </w:t>
                            </w:r>
                          </w:p>
                          <w:p w14:paraId="2E86FBB3" w14:textId="77777777" w:rsidR="00941511" w:rsidRDefault="00941511" w:rsidP="005D7B79">
                            <w:pPr>
                              <w:spacing w:after="0"/>
                              <w:ind w:left="562" w:right="38"/>
                            </w:pPr>
                            <w:r>
                              <w:t xml:space="preserve">                 Acropolis Institute of Technology &amp;                             Acropolis Institute of Technology &amp;       </w:t>
                            </w:r>
                          </w:p>
                          <w:tbl>
                            <w:tblPr>
                              <w:tblStyle w:val="TableGrid"/>
                              <w:tblW w:w="7938" w:type="dxa"/>
                              <w:tblInd w:w="552" w:type="dxa"/>
                              <w:tblLook w:val="04A0" w:firstRow="1" w:lastRow="0" w:firstColumn="1" w:lastColumn="0" w:noHBand="0" w:noVBand="1"/>
                            </w:tblPr>
                            <w:tblGrid>
                              <w:gridCol w:w="5159"/>
                              <w:gridCol w:w="2779"/>
                            </w:tblGrid>
                            <w:tr w:rsidR="00941511" w14:paraId="6794E026" w14:textId="77777777" w:rsidTr="004F5FB2">
                              <w:trPr>
                                <w:trHeight w:val="455"/>
                              </w:trPr>
                              <w:tc>
                                <w:tcPr>
                                  <w:tcW w:w="5159" w:type="dxa"/>
                                  <w:tcBorders>
                                    <w:top w:val="nil"/>
                                    <w:left w:val="nil"/>
                                    <w:bottom w:val="nil"/>
                                    <w:right w:val="nil"/>
                                  </w:tcBorders>
                                </w:tcPr>
                                <w:p w14:paraId="0B72BBCD" w14:textId="77777777" w:rsidR="00941511" w:rsidRDefault="00941511" w:rsidP="00941511">
                                  <w:pPr>
                                    <w:spacing w:after="0" w:line="259" w:lineRule="auto"/>
                                    <w:ind w:left="0" w:firstLine="0"/>
                                    <w:jc w:val="left"/>
                                  </w:pPr>
                                  <w:r>
                                    <w:t xml:space="preserve">                               Research ,Indore                 </w:t>
                                  </w:r>
                                </w:p>
                                <w:p w14:paraId="4B9B5CAC" w14:textId="77777777" w:rsidR="00941511" w:rsidRDefault="00941511" w:rsidP="00941511">
                                  <w:pPr>
                                    <w:spacing w:after="0" w:line="259" w:lineRule="auto"/>
                                    <w:ind w:left="0" w:firstLine="0"/>
                                    <w:jc w:val="left"/>
                                  </w:pPr>
                                  <w:r>
                                    <w:t xml:space="preserve">                  satyamthakur231030@acropolis.in   </w:t>
                                  </w:r>
                                </w:p>
                              </w:tc>
                              <w:tc>
                                <w:tcPr>
                                  <w:tcW w:w="2779" w:type="dxa"/>
                                  <w:tcBorders>
                                    <w:top w:val="nil"/>
                                    <w:left w:val="nil"/>
                                    <w:bottom w:val="nil"/>
                                    <w:right w:val="nil"/>
                                  </w:tcBorders>
                                </w:tcPr>
                                <w:p w14:paraId="223F0AFA" w14:textId="77777777" w:rsidR="00941511" w:rsidRDefault="00941511" w:rsidP="00941511">
                                  <w:pPr>
                                    <w:spacing w:after="0" w:line="259" w:lineRule="auto"/>
                                    <w:ind w:left="166" w:firstLine="0"/>
                                    <w:jc w:val="left"/>
                                  </w:pPr>
                                  <w:r>
                                    <w:t xml:space="preserve">             Research, Indore    reshmashivhare@acropolis.in</w:t>
                                  </w:r>
                                  <w:r>
                                    <w:rPr>
                                      <w:sz w:val="17"/>
                                    </w:rPr>
                                    <w:t xml:space="preserve">  </w:t>
                                  </w:r>
                                  <w:r>
                                    <w:t xml:space="preserve"> </w:t>
                                  </w:r>
                                </w:p>
                              </w:tc>
                            </w:tr>
                          </w:tbl>
                          <w:p w14:paraId="66579C24" w14:textId="1BB7717D" w:rsidR="004B4E5A" w:rsidRDefault="004B4E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BD56BE" id="_x0000_t202" coordsize="21600,21600" o:spt="202" path="m,l,21600r21600,l21600,xe">
                <v:stroke joinstyle="miter"/>
                <v:path gradientshapeok="t" o:connecttype="rect"/>
              </v:shapetype>
              <v:shape id="Text Box 2" o:spid="_x0000_s1026" type="#_x0000_t202" style="position:absolute;left:0;text-align:left;margin-left:0;margin-top:21.55pt;width:498.5pt;height:167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" stroked="f">
                <v:textbox>
                  <w:txbxContent>
                    <w:tbl>
                      <w:tblPr>
                        <w:tblStyle w:val="TableGrid"/>
                        <w:tblW w:w="8773" w:type="dxa"/>
                        <w:tblInd w:w="0" w:type="dxa"/>
                        <w:tblCellMar>
                          <w:top w:w="28" w:type="dxa"/>
                        </w:tblCellMar>
                        <w:tblLook w:val="04A0" w:firstRow="1" w:lastRow="0" w:firstColumn="1" w:lastColumn="0" w:noHBand="0" w:noVBand="1"/>
                      </w:tblPr>
                      <w:tblGrid>
                        <w:gridCol w:w="3519"/>
                        <w:gridCol w:w="3454"/>
                        <w:gridCol w:w="1800"/>
                      </w:tblGrid>
                      <w:tr w:rsidR="00941511" w14:paraId="405917BD" w14:textId="77777777" w:rsidTr="004F5FB2">
                        <w:trPr>
                          <w:trHeight w:val="260"/>
                        </w:trPr>
                        <w:tc>
                          <w:tcPr>
                            <w:tcW w:w="3519" w:type="dxa"/>
                            <w:tcBorders>
                              <w:top w:val="nil"/>
                              <w:left w:val="nil"/>
                              <w:bottom w:val="nil"/>
                              <w:right w:val="nil"/>
                            </w:tcBorders>
                          </w:tcPr>
                          <w:p w14:paraId="3BF28257" w14:textId="3C2B0977" w:rsidR="00941511" w:rsidRDefault="00941511" w:rsidP="00941511">
                            <w:pPr>
                              <w:spacing w:after="0" w:line="259" w:lineRule="auto"/>
                              <w:ind w:left="0" w:firstLine="0"/>
                              <w:jc w:val="left"/>
                            </w:pPr>
                            <w:r>
                              <w:rPr>
                                <w:rFonts w:ascii="Calibri" w:eastAsia="Calibri" w:hAnsi="Calibri" w:cs="Calibri"/>
                                <w:sz w:val="22"/>
                              </w:rPr>
                              <w:t xml:space="preserve"> </w:t>
                            </w:r>
                            <w:r>
                              <w:rPr>
                                <w:sz w:val="19"/>
                              </w:rPr>
                              <w:t xml:space="preserve">                         </w:t>
                            </w:r>
                            <w:r w:rsidR="000B3F2B">
                              <w:t>S</w:t>
                            </w:r>
                            <w:r w:rsidR="00D8215A">
                              <w:t>ejal jain</w:t>
                            </w:r>
                            <w:r>
                              <w:rPr>
                                <w:vertAlign w:val="superscript"/>
                              </w:rPr>
                              <w:t>1</w:t>
                            </w:r>
                            <w:r>
                              <w:t xml:space="preserve">      </w:t>
                            </w:r>
                          </w:p>
                        </w:tc>
                        <w:tc>
                          <w:tcPr>
                            <w:tcW w:w="3454" w:type="dxa"/>
                            <w:tcBorders>
                              <w:top w:val="nil"/>
                              <w:left w:val="nil"/>
                              <w:bottom w:val="nil"/>
                              <w:right w:val="nil"/>
                            </w:tcBorders>
                          </w:tcPr>
                          <w:p w14:paraId="617F14FA" w14:textId="4B5D9D45" w:rsidR="00941511" w:rsidRDefault="00941511" w:rsidP="00941511">
                            <w:pPr>
                              <w:spacing w:after="0" w:line="259" w:lineRule="auto"/>
                              <w:ind w:left="0" w:firstLine="0"/>
                              <w:jc w:val="left"/>
                            </w:pPr>
                            <w:r>
                              <w:rPr>
                                <w:sz w:val="19"/>
                              </w:rPr>
                              <w:t xml:space="preserve">                   </w:t>
                            </w:r>
                            <w:r w:rsidR="00D8215A">
                              <w:t>P</w:t>
                            </w:r>
                            <w:r w:rsidR="005D7B79">
                              <w:t>ranav singh</w:t>
                            </w:r>
                            <w:r>
                              <w:rPr>
                                <w:vertAlign w:val="superscript"/>
                              </w:rPr>
                              <w:t>2</w:t>
                            </w:r>
                            <w:r>
                              <w:t xml:space="preserve">    </w:t>
                            </w:r>
                          </w:p>
                        </w:tc>
                        <w:tc>
                          <w:tcPr>
                            <w:tcW w:w="1800" w:type="dxa"/>
                            <w:tcBorders>
                              <w:top w:val="nil"/>
                              <w:left w:val="nil"/>
                              <w:bottom w:val="nil"/>
                              <w:right w:val="nil"/>
                            </w:tcBorders>
                          </w:tcPr>
                          <w:p w14:paraId="63549EB3" w14:textId="52D1DB16" w:rsidR="00941511" w:rsidRDefault="00941511" w:rsidP="00941511">
                            <w:pPr>
                              <w:spacing w:after="0" w:line="259" w:lineRule="auto"/>
                              <w:ind w:left="48" w:firstLine="0"/>
                              <w:jc w:val="left"/>
                            </w:pPr>
                            <w:r>
                              <w:rPr>
                                <w:sz w:val="19"/>
                              </w:rPr>
                              <w:t xml:space="preserve">         </w:t>
                            </w:r>
                            <w:r w:rsidR="005D7B79">
                              <w:t>Sanskar rathore</w:t>
                            </w:r>
                            <w:r>
                              <w:rPr>
                                <w:vertAlign w:val="superscript"/>
                              </w:rPr>
                              <w:t xml:space="preserve">3 </w:t>
                            </w:r>
                            <w:r>
                              <w:t xml:space="preserve"> </w:t>
                            </w:r>
                          </w:p>
                        </w:tc>
                      </w:tr>
                      <w:tr w:rsidR="00941511" w14:paraId="493AB6ED" w14:textId="77777777" w:rsidTr="004F5FB2">
                        <w:trPr>
                          <w:trHeight w:val="260"/>
                        </w:trPr>
                        <w:tc>
                          <w:tcPr>
                            <w:tcW w:w="3519" w:type="dxa"/>
                            <w:tcBorders>
                              <w:top w:val="nil"/>
                              <w:left w:val="nil"/>
                              <w:bottom w:val="nil"/>
                              <w:right w:val="nil"/>
                            </w:tcBorders>
                          </w:tcPr>
                          <w:p w14:paraId="34F077EA" w14:textId="77777777" w:rsidR="00941511" w:rsidRDefault="00941511" w:rsidP="00941511">
                            <w:pPr>
                              <w:spacing w:after="0" w:line="259" w:lineRule="auto"/>
                              <w:ind w:left="0" w:firstLine="0"/>
                              <w:jc w:val="left"/>
                            </w:pPr>
                            <w:r>
                              <w:rPr>
                                <w:rFonts w:ascii="Calibri" w:eastAsia="Calibri" w:hAnsi="Calibri" w:cs="Calibri"/>
                                <w:sz w:val="22"/>
                              </w:rPr>
                              <w:t xml:space="preserve"> </w:t>
                            </w:r>
                            <w:r>
                              <w:t xml:space="preserve">                        IT Department   </w:t>
                            </w:r>
                          </w:p>
                        </w:tc>
                        <w:tc>
                          <w:tcPr>
                            <w:tcW w:w="3454" w:type="dxa"/>
                            <w:tcBorders>
                              <w:top w:val="nil"/>
                              <w:left w:val="nil"/>
                              <w:bottom w:val="nil"/>
                              <w:right w:val="nil"/>
                            </w:tcBorders>
                          </w:tcPr>
                          <w:p w14:paraId="08352613" w14:textId="77777777" w:rsidR="00941511" w:rsidRDefault="00941511" w:rsidP="00941511">
                            <w:pPr>
                              <w:spacing w:after="0" w:line="259" w:lineRule="auto"/>
                              <w:ind w:left="50" w:firstLine="0"/>
                              <w:jc w:val="left"/>
                            </w:pPr>
                            <w:r>
                              <w:t xml:space="preserve">                  IT Department   </w:t>
                            </w:r>
                          </w:p>
                        </w:tc>
                        <w:tc>
                          <w:tcPr>
                            <w:tcW w:w="1800" w:type="dxa"/>
                            <w:tcBorders>
                              <w:top w:val="nil"/>
                              <w:left w:val="nil"/>
                              <w:bottom w:val="nil"/>
                              <w:right w:val="nil"/>
                            </w:tcBorders>
                          </w:tcPr>
                          <w:p w14:paraId="7A02671D" w14:textId="77777777" w:rsidR="00941511" w:rsidRDefault="00941511" w:rsidP="00941511">
                            <w:pPr>
                              <w:spacing w:after="0" w:line="259" w:lineRule="auto"/>
                              <w:ind w:left="0" w:firstLine="0"/>
                            </w:pPr>
                            <w:r>
                              <w:rPr>
                                <w:sz w:val="13"/>
                              </w:rPr>
                              <w:t xml:space="preserve">               </w:t>
                            </w:r>
                            <w:r>
                              <w:t>IT Department</w:t>
                            </w:r>
                            <w:r>
                              <w:rPr>
                                <w:sz w:val="13"/>
                              </w:rPr>
                              <w:t xml:space="preserve"> </w:t>
                            </w:r>
                            <w:r>
                              <w:t xml:space="preserve">  </w:t>
                            </w:r>
                          </w:p>
                        </w:tc>
                      </w:tr>
                    </w:tbl>
                    <w:p w14:paraId="6C887172" w14:textId="77777777" w:rsidR="00941511" w:rsidRDefault="00941511" w:rsidP="00941511">
                      <w:pPr>
                        <w:spacing w:after="8"/>
                        <w:ind w:right="38"/>
                      </w:pPr>
                      <w:r>
                        <w:t xml:space="preserve">    Acropolis Institute of Technology &amp;      Acropolis Institute of Technology &amp;     Acropolis Institute of  Technology &amp;    </w:t>
                      </w:r>
                    </w:p>
                    <w:p w14:paraId="497509F7" w14:textId="15F791B6" w:rsidR="00941511" w:rsidRDefault="00941511" w:rsidP="00941511">
                      <w:pPr>
                        <w:spacing w:after="24"/>
                        <w:ind w:left="790" w:right="826"/>
                      </w:pPr>
                      <w:r>
                        <w:t xml:space="preserve">         Research, Indore                                     Research, Indore                                 Research, Indore                        priyanshupatidar230768                           </w:t>
                      </w:r>
                      <w:r w:rsidR="005D7B79">
                        <w:t>pranavsingh230472</w:t>
                      </w:r>
                      <w:r>
                        <w:t xml:space="preserve">                            samayjain230976                                @acropolis.in</w:t>
                      </w:r>
                      <w:r>
                        <w:rPr>
                          <w:sz w:val="17"/>
                        </w:rPr>
                        <w:t xml:space="preserve">  </w:t>
                      </w:r>
                      <w:r>
                        <w:t xml:space="preserve">                                        @acropolis.in</w:t>
                      </w:r>
                      <w:r>
                        <w:rPr>
                          <w:sz w:val="17"/>
                        </w:rPr>
                        <w:t xml:space="preserve">  </w:t>
                      </w:r>
                      <w:r>
                        <w:t xml:space="preserve">                                  @acropolis.in</w:t>
                      </w:r>
                      <w:r>
                        <w:rPr>
                          <w:sz w:val="17"/>
                        </w:rPr>
                        <w:t xml:space="preserve">  </w:t>
                      </w:r>
                      <w:r>
                        <w:t xml:space="preserve"> </w:t>
                      </w:r>
                    </w:p>
                    <w:p w14:paraId="2A0C23C5" w14:textId="77777777" w:rsidR="00941511" w:rsidRDefault="00941511" w:rsidP="00941511">
                      <w:pPr>
                        <w:spacing w:after="35" w:line="259" w:lineRule="auto"/>
                        <w:ind w:left="744" w:firstLine="0"/>
                        <w:jc w:val="center"/>
                      </w:pPr>
                      <w:r>
                        <w:t xml:space="preserve"> </w:t>
                      </w:r>
                      <w:r>
                        <w:rPr>
                          <w:sz w:val="17"/>
                        </w:rPr>
                        <w:t xml:space="preserve"> </w:t>
                      </w:r>
                      <w:r>
                        <w:t xml:space="preserve"> </w:t>
                      </w:r>
                    </w:p>
                    <w:p w14:paraId="2EC50AA5" w14:textId="77777777" w:rsidR="00941511" w:rsidRDefault="00941511" w:rsidP="005D7B79">
                      <w:pPr>
                        <w:tabs>
                          <w:tab w:val="center" w:pos="1999"/>
                          <w:tab w:val="center" w:pos="7131"/>
                        </w:tabs>
                        <w:spacing w:after="0"/>
                        <w:ind w:left="0" w:firstLine="0"/>
                        <w:jc w:val="left"/>
                      </w:pPr>
                      <w:r>
                        <w:rPr>
                          <w:rFonts w:ascii="Calibri" w:eastAsia="Calibri" w:hAnsi="Calibri" w:cs="Calibri"/>
                          <w:sz w:val="22"/>
                        </w:rPr>
                        <w:tab/>
                      </w:r>
                      <w:r>
                        <w:t xml:space="preserve">                                Satyam Thakur</w:t>
                      </w:r>
                      <w:r>
                        <w:rPr>
                          <w:vertAlign w:val="superscript"/>
                        </w:rPr>
                        <w:t xml:space="preserve">4 </w:t>
                      </w:r>
                      <w:r>
                        <w:t xml:space="preserve">  </w:t>
                      </w:r>
                      <w:r>
                        <w:tab/>
                      </w:r>
                      <w:r>
                        <w:rPr>
                          <w:b/>
                        </w:rPr>
                        <w:t>Prof. (Dr.) Brajesh Chaturvedi</w:t>
                      </w:r>
                      <w:r>
                        <w:rPr>
                          <w:b/>
                          <w:sz w:val="17"/>
                          <w:vertAlign w:val="superscript"/>
                        </w:rPr>
                        <w:t>5</w:t>
                      </w:r>
                      <w:r>
                        <w:t xml:space="preserve">  </w:t>
                      </w:r>
                    </w:p>
                    <w:p w14:paraId="583619C2" w14:textId="77777777" w:rsidR="00941511" w:rsidRDefault="00941511" w:rsidP="00941511">
                      <w:pPr>
                        <w:tabs>
                          <w:tab w:val="center" w:pos="1941"/>
                          <w:tab w:val="center" w:pos="6817"/>
                        </w:tabs>
                        <w:spacing w:after="35"/>
                        <w:ind w:left="0" w:firstLine="0"/>
                        <w:jc w:val="left"/>
                      </w:pPr>
                      <w:r>
                        <w:rPr>
                          <w:rFonts w:ascii="Calibri" w:eastAsia="Calibri" w:hAnsi="Calibri" w:cs="Calibri"/>
                          <w:sz w:val="22"/>
                        </w:rPr>
                        <w:tab/>
                      </w:r>
                      <w:r>
                        <w:t xml:space="preserve">                                IT Department   </w:t>
                      </w:r>
                      <w:r>
                        <w:tab/>
                        <w:t xml:space="preserve">              IT Department   </w:t>
                      </w:r>
                    </w:p>
                    <w:p w14:paraId="2E86FBB3" w14:textId="77777777" w:rsidR="00941511" w:rsidRDefault="00941511" w:rsidP="005D7B79">
                      <w:pPr>
                        <w:spacing w:after="0"/>
                        <w:ind w:left="562" w:right="38"/>
                      </w:pPr>
                      <w:r>
                        <w:t xml:space="preserve">                 Acropolis Institute of Technology &amp;                             Acropolis Institute of Technology &amp;       </w:t>
                      </w:r>
                    </w:p>
                    <w:tbl>
                      <w:tblPr>
                        <w:tblStyle w:val="TableGrid"/>
                        <w:tblW w:w="7938" w:type="dxa"/>
                        <w:tblInd w:w="552" w:type="dxa"/>
                        <w:tblLook w:val="04A0" w:firstRow="1" w:lastRow="0" w:firstColumn="1" w:lastColumn="0" w:noHBand="0" w:noVBand="1"/>
                      </w:tblPr>
                      <w:tblGrid>
                        <w:gridCol w:w="5159"/>
                        <w:gridCol w:w="2779"/>
                      </w:tblGrid>
                      <w:tr w:rsidR="00941511" w14:paraId="6794E026" w14:textId="77777777" w:rsidTr="004F5FB2">
                        <w:trPr>
                          <w:trHeight w:val="455"/>
                        </w:trPr>
                        <w:tc>
                          <w:tcPr>
                            <w:tcW w:w="5159" w:type="dxa"/>
                            <w:tcBorders>
                              <w:top w:val="nil"/>
                              <w:left w:val="nil"/>
                              <w:bottom w:val="nil"/>
                              <w:right w:val="nil"/>
                            </w:tcBorders>
                          </w:tcPr>
                          <w:p w14:paraId="0B72BBCD" w14:textId="77777777" w:rsidR="00941511" w:rsidRDefault="00941511" w:rsidP="00941511">
                            <w:pPr>
                              <w:spacing w:after="0" w:line="259" w:lineRule="auto"/>
                              <w:ind w:left="0" w:firstLine="0"/>
                              <w:jc w:val="left"/>
                            </w:pPr>
                            <w:r>
                              <w:t xml:space="preserve">                               Research ,Indore                 </w:t>
                            </w:r>
                          </w:p>
                          <w:p w14:paraId="4B9B5CAC" w14:textId="77777777" w:rsidR="00941511" w:rsidRDefault="00941511" w:rsidP="00941511">
                            <w:pPr>
                              <w:spacing w:after="0" w:line="259" w:lineRule="auto"/>
                              <w:ind w:left="0" w:firstLine="0"/>
                              <w:jc w:val="left"/>
                            </w:pPr>
                            <w:r>
                              <w:t xml:space="preserve">                  satyamthakur231030@acropolis.in   </w:t>
                            </w:r>
                          </w:p>
                        </w:tc>
                        <w:tc>
                          <w:tcPr>
                            <w:tcW w:w="2779" w:type="dxa"/>
                            <w:tcBorders>
                              <w:top w:val="nil"/>
                              <w:left w:val="nil"/>
                              <w:bottom w:val="nil"/>
                              <w:right w:val="nil"/>
                            </w:tcBorders>
                          </w:tcPr>
                          <w:p w14:paraId="223F0AFA" w14:textId="77777777" w:rsidR="00941511" w:rsidRDefault="00941511" w:rsidP="00941511">
                            <w:pPr>
                              <w:spacing w:after="0" w:line="259" w:lineRule="auto"/>
                              <w:ind w:left="166" w:firstLine="0"/>
                              <w:jc w:val="left"/>
                            </w:pPr>
                            <w:r>
                              <w:t xml:space="preserve">             Research, Indore    reshmashivhare@acropolis.in</w:t>
                            </w:r>
                            <w:r>
                              <w:rPr>
                                <w:sz w:val="17"/>
                              </w:rPr>
                              <w:t xml:space="preserve">  </w:t>
                            </w:r>
                            <w:r>
                              <w:t xml:space="preserve"> </w:t>
                            </w:r>
                          </w:p>
                        </w:tc>
                      </w:tr>
                    </w:tbl>
                    <w:p w14:paraId="66579C24" w14:textId="1BB7717D" w:rsidR="004B4E5A" w:rsidRDefault="004B4E5A"/>
                  </w:txbxContent>
                </v:textbox>
                <w10:wrap type="square" anchorx="margin"/>
              </v:shape>
            </w:pict>
          </mc:Fallback>
        </mc:AlternateContent>
      </w:r>
    </w:p>
    <w:p w14:paraId="26B5883B" w14:textId="77777777" w:rsidR="004B4E5A" w:rsidRDefault="004B4E5A" w:rsidP="004B4E5A">
      <w:pPr>
        <w:pStyle w:val="NoSpacing"/>
      </w:pPr>
    </w:p>
    <w:p w14:paraId="2FC2E14F" w14:textId="77777777" w:rsidR="004B4E5A" w:rsidRDefault="004B4E5A" w:rsidP="004B4E5A">
      <w:pPr>
        <w:pStyle w:val="NoSpacing"/>
        <w:sectPr w:rsidR="004B4E5A" w:rsidSect="000967F0">
          <w:pgSz w:w="11906" w:h="16838" w:code="9"/>
          <w:pgMar w:top="1440" w:right="1134" w:bottom="680" w:left="1134" w:header="709" w:footer="709" w:gutter="0"/>
          <w:cols w:space="708"/>
          <w:docGrid w:linePitch="360"/>
        </w:sectPr>
      </w:pPr>
    </w:p>
    <w:p w14:paraId="59BD57B2" w14:textId="10E43B7F" w:rsidR="005401CE" w:rsidRPr="000967F0" w:rsidRDefault="005401CE" w:rsidP="00DA6BA0">
      <w:pPr>
        <w:spacing w:before="60" w:after="60"/>
        <w:ind w:left="142" w:firstLine="0"/>
        <w:rPr>
          <w:b/>
          <w:bCs/>
          <w:sz w:val="18"/>
          <w:szCs w:val="18"/>
        </w:rPr>
      </w:pPr>
      <w:r w:rsidRPr="000967F0">
        <w:rPr>
          <w:b/>
          <w:bCs/>
          <w:sz w:val="18"/>
          <w:szCs w:val="18"/>
        </w:rPr>
        <w:t>Abstract</w:t>
      </w:r>
      <w:r w:rsidRPr="000967F0">
        <w:rPr>
          <w:b/>
          <w:sz w:val="18"/>
          <w:szCs w:val="18"/>
        </w:rPr>
        <w:t>—</w:t>
      </w:r>
      <w:r w:rsidRPr="000967F0">
        <w:rPr>
          <w:b/>
          <w:bCs/>
          <w:sz w:val="18"/>
          <w:szCs w:val="18"/>
        </w:rPr>
        <w:t xml:space="preserve">The growing impact of climate change highlights the need for practical tools that help individuals understand and reduce their carbon emissions. This paper presents </w:t>
      </w:r>
      <w:proofErr w:type="spellStart"/>
      <w:r w:rsidRPr="000967F0">
        <w:rPr>
          <w:b/>
          <w:bCs/>
          <w:sz w:val="18"/>
          <w:szCs w:val="18"/>
        </w:rPr>
        <w:t>CarbonLens</w:t>
      </w:r>
      <w:proofErr w:type="spellEnd"/>
      <w:r w:rsidRPr="000967F0">
        <w:rPr>
          <w:b/>
          <w:bCs/>
          <w:sz w:val="18"/>
          <w:szCs w:val="18"/>
        </w:rPr>
        <w:t xml:space="preserve">, an AI-powered web application that uses Large Language Models (LLMs) through the </w:t>
      </w:r>
      <w:proofErr w:type="spellStart"/>
      <w:r w:rsidRPr="000967F0">
        <w:rPr>
          <w:b/>
          <w:bCs/>
          <w:sz w:val="18"/>
          <w:szCs w:val="18"/>
        </w:rPr>
        <w:t>Ollama</w:t>
      </w:r>
      <w:proofErr w:type="spellEnd"/>
      <w:r w:rsidRPr="000967F0">
        <w:rPr>
          <w:b/>
          <w:bCs/>
          <w:sz w:val="18"/>
          <w:szCs w:val="18"/>
        </w:rPr>
        <w:t xml:space="preserve"> framework to automatically track personal carbon footprints and provide personalized sustainability recommendations. Users describe their daily activities in natural language, and the system extracts relevant information, estimates associated carbon emissions, and generates actionable suggestions for reducing environmental impact. Built with a full-stack architecture using Node.js, Express.js, MongoDB, and modern visualization tools, </w:t>
      </w:r>
      <w:proofErr w:type="spellStart"/>
      <w:r w:rsidRPr="000967F0">
        <w:rPr>
          <w:b/>
          <w:bCs/>
          <w:sz w:val="18"/>
          <w:szCs w:val="18"/>
        </w:rPr>
        <w:t>CarbonLens</w:t>
      </w:r>
      <w:proofErr w:type="spellEnd"/>
      <w:r w:rsidRPr="000967F0">
        <w:rPr>
          <w:b/>
          <w:bCs/>
          <w:sz w:val="18"/>
          <w:szCs w:val="18"/>
        </w:rPr>
        <w:t xml:space="preserve"> also offers interactive dashboards and historical analytics. Experimental evaluation demonstrates high activity extraction accuracy, low response latency, and positive user feedback, indicating its effectiveness as an intelligent platform for personal sustainability monitoring and environmental awareness.</w:t>
      </w:r>
    </w:p>
    <w:p w14:paraId="33F06207" w14:textId="4FDA3B94" w:rsidR="00754E06" w:rsidRPr="000967F0" w:rsidRDefault="005401CE" w:rsidP="000967F0">
      <w:pPr>
        <w:ind w:left="142" w:firstLine="0"/>
        <w:jc w:val="left"/>
        <w:rPr>
          <w:b/>
          <w:bCs/>
          <w:i/>
          <w:iCs/>
          <w:sz w:val="18"/>
          <w:szCs w:val="18"/>
        </w:rPr>
      </w:pPr>
      <w:r w:rsidRPr="000967F0">
        <w:rPr>
          <w:b/>
          <w:bCs/>
          <w:i/>
          <w:iCs/>
          <w:sz w:val="18"/>
          <w:szCs w:val="18"/>
        </w:rPr>
        <w:t>Keywords— Carbon Footprint Tracking, Large Language Models, Sustainability, Natural Language Processing, Emission Estimation, Green Computing, Personalized Recommendations, Environmental Analytics</w:t>
      </w:r>
    </w:p>
    <w:p w14:paraId="5843C3FB" w14:textId="0DAF8E72" w:rsidR="00A40B9D" w:rsidRDefault="00A40B9D" w:rsidP="00A40B9D">
      <w:pPr>
        <w:spacing w:before="80" w:after="80" w:line="276" w:lineRule="auto"/>
        <w:ind w:left="-284"/>
        <w:rPr>
          <w:szCs w:val="20"/>
        </w:rPr>
      </w:pPr>
      <w:r>
        <w:rPr>
          <w:szCs w:val="20"/>
        </w:rPr>
        <w:t xml:space="preserve">                      </w:t>
      </w:r>
      <w:r w:rsidR="000967F0">
        <w:rPr>
          <w:szCs w:val="20"/>
        </w:rPr>
        <w:t xml:space="preserve">          </w:t>
      </w:r>
      <w:r>
        <w:rPr>
          <w:szCs w:val="20"/>
        </w:rPr>
        <w:t>1.INTRODUCTION</w:t>
      </w:r>
    </w:p>
    <w:p w14:paraId="31F2E863" w14:textId="47E6E4EC" w:rsidR="00E45AE1" w:rsidRDefault="005401CE" w:rsidP="00DA6BA0">
      <w:pPr>
        <w:spacing w:after="0" w:line="240" w:lineRule="auto"/>
        <w:ind w:left="142" w:firstLine="426"/>
        <w:rPr>
          <w:szCs w:val="20"/>
        </w:rPr>
      </w:pPr>
      <w:r>
        <w:rPr>
          <w:szCs w:val="20"/>
        </w:rPr>
        <w:t xml:space="preserve">The Intergovernmental Panel on Climate Change </w:t>
      </w:r>
    </w:p>
    <w:p w14:paraId="33A8AFFF" w14:textId="3BB88C80" w:rsidR="005401CE" w:rsidRDefault="005401CE" w:rsidP="00DA6BA0">
      <w:pPr>
        <w:spacing w:after="0" w:line="240" w:lineRule="auto"/>
        <w:ind w:left="142" w:firstLine="0"/>
        <w:rPr>
          <w:szCs w:val="20"/>
        </w:rPr>
      </w:pPr>
      <w:r>
        <w:rPr>
          <w:szCs w:val="20"/>
        </w:rPr>
        <w:t>(IPCC) Sixth Assessment</w:t>
      </w:r>
      <w:r w:rsidR="00A40B9D">
        <w:rPr>
          <w:szCs w:val="20"/>
        </w:rPr>
        <w:t xml:space="preserve"> </w:t>
      </w:r>
      <w:r>
        <w:rPr>
          <w:szCs w:val="20"/>
        </w:rPr>
        <w:t xml:space="preserve">Report unequivocally established that human activities have caused approximately 1.1 degrees Celsius of global warming above pre-industrial levels, with continued emissions projected to breach the 1.5-degree threshold within the coming decade [1]. Greenhouse gas emissions — predominantly carbon dioxide (CO₂), methane (CH₄), and nitrous oxide (N₂O) — arise from industrial processes, energy consumption, transportation, agriculture, and individual </w:t>
      </w:r>
      <w:proofErr w:type="spellStart"/>
      <w:r>
        <w:rPr>
          <w:szCs w:val="20"/>
        </w:rPr>
        <w:t>behavioral</w:t>
      </w:r>
      <w:proofErr w:type="spellEnd"/>
      <w:r>
        <w:rPr>
          <w:szCs w:val="20"/>
        </w:rPr>
        <w:t xml:space="preserve"> patterns. While systemic industrial reform is essential, individual and household emissions collectively represent approximately 60–70% of global GHG output when accounting for </w:t>
      </w:r>
      <w:r>
        <w:rPr>
          <w:szCs w:val="20"/>
        </w:rPr>
        <w:t>consumption-based attribution [2]. This statistic underscores the critical importance of empowering individuals with the tools and knowledge necessary to understand, monitor, and actively reduce their personal carbon footprints.</w:t>
      </w:r>
    </w:p>
    <w:p w14:paraId="561BC24E" w14:textId="0D481033" w:rsidR="003005BF" w:rsidRPr="003005BF" w:rsidRDefault="003005BF" w:rsidP="003005BF">
      <w:pPr>
        <w:pStyle w:val="Heading2"/>
        <w:spacing w:before="80"/>
        <w:ind w:left="0" w:firstLine="0"/>
        <w:rPr>
          <w:sz w:val="20"/>
          <w:szCs w:val="20"/>
        </w:rPr>
      </w:pPr>
      <w:bookmarkStart w:id="0" w:name="_Toc232441467"/>
      <w:r w:rsidRPr="003005BF">
        <w:rPr>
          <w:rFonts w:ascii="Arial" w:eastAsia="Arial" w:hAnsi="Arial" w:cs="Arial"/>
          <w:color w:val="2E4057"/>
          <w:sz w:val="20"/>
          <w:szCs w:val="20"/>
        </w:rPr>
        <w:t>1.1 THE CARBON EMISSIONS PROBLEM</w:t>
      </w:r>
      <w:bookmarkEnd w:id="0"/>
    </w:p>
    <w:p w14:paraId="020BB2CD" w14:textId="74F3B9A9" w:rsidR="000967F0" w:rsidRDefault="003005BF" w:rsidP="000967F0">
      <w:pPr>
        <w:spacing w:before="40" w:after="0" w:line="240" w:lineRule="auto"/>
        <w:rPr>
          <w:szCs w:val="20"/>
        </w:rPr>
      </w:pPr>
      <w:r>
        <w:rPr>
          <w:szCs w:val="20"/>
        </w:rPr>
        <w:t xml:space="preserve">Despite growing public awareness of climate change, the majority of individuals remain uninformed about the specific emission implications of their daily choices — spanning dietary habits, transportation mode selection, energy consumption, and consumer purchasing behavior. A 2022 survey conducted across developed economies revealed that fewer than 15% of respondents could accurately estimate the carbon cost of common activities such as a 1-hour commercial flight or the consumption of a beef-based meal [3]. This cognitive gap between general environmental awareness and actionable emissions knowledge represents a significant barrier to voluntary </w:t>
      </w:r>
      <w:proofErr w:type="spellStart"/>
      <w:r>
        <w:rPr>
          <w:szCs w:val="20"/>
        </w:rPr>
        <w:t>behavioral</w:t>
      </w:r>
      <w:proofErr w:type="spellEnd"/>
      <w:r>
        <w:rPr>
          <w:szCs w:val="20"/>
        </w:rPr>
        <w:t xml:space="preserve"> change.</w:t>
      </w:r>
      <w:r w:rsidR="000967F0" w:rsidRPr="000967F0">
        <w:rPr>
          <w:szCs w:val="20"/>
        </w:rPr>
        <w:t xml:space="preserve"> </w:t>
      </w:r>
      <w:r w:rsidR="000967F0">
        <w:rPr>
          <w:szCs w:val="20"/>
        </w:rPr>
        <w:t xml:space="preserve">Traditional carbon footprint calculators, such as those provided by governmental agencies or non-governmental environmental organizations, require users to manually navigate complex categorical questionnaires and input precise numerical values for activities they may not remember or quantify accurately. These tools suffer from low engagement, high abandonment rates, and an inability to adapt to the nuanced, context-dependent nature of real-world human activities. Furthermore, they fail to provide dynamic, personalized feedback that motivates sustained </w:t>
      </w:r>
      <w:proofErr w:type="spellStart"/>
      <w:r w:rsidR="000967F0">
        <w:rPr>
          <w:szCs w:val="20"/>
        </w:rPr>
        <w:t>behavioral</w:t>
      </w:r>
      <w:proofErr w:type="spellEnd"/>
      <w:r w:rsidR="000967F0">
        <w:rPr>
          <w:szCs w:val="20"/>
        </w:rPr>
        <w:t xml:space="preserve"> modification.</w:t>
      </w:r>
    </w:p>
    <w:p w14:paraId="50904D4C" w14:textId="44BEB71A" w:rsidR="000967F0" w:rsidRDefault="000967F0" w:rsidP="000967F0">
      <w:pPr>
        <w:pStyle w:val="Heading2"/>
        <w:ind w:left="0" w:firstLine="0"/>
      </w:pPr>
      <w:bookmarkStart w:id="1" w:name="_Toc232441468"/>
      <w:r>
        <w:rPr>
          <w:rFonts w:ascii="Arial" w:eastAsia="Arial" w:hAnsi="Arial" w:cs="Arial"/>
          <w:b/>
          <w:bCs/>
          <w:color w:val="2E4057"/>
          <w:sz w:val="22"/>
          <w:szCs w:val="22"/>
        </w:rPr>
        <w:t xml:space="preserve">       1.2 Limitations of Existing Solutions</w:t>
      </w:r>
      <w:bookmarkEnd w:id="1"/>
    </w:p>
    <w:p w14:paraId="4AF24356" w14:textId="77777777" w:rsidR="000967F0" w:rsidRDefault="000967F0" w:rsidP="000967F0">
      <w:pPr>
        <w:spacing w:before="80" w:after="80" w:line="276" w:lineRule="auto"/>
        <w:rPr>
          <w:szCs w:val="20"/>
        </w:rPr>
      </w:pPr>
      <w:r>
        <w:rPr>
          <w:szCs w:val="20"/>
        </w:rPr>
        <w:t xml:space="preserve">A systematic review of existing carbon tracking applications reveals several critical deficiencies. First, most platforms rely on rigid, predefined activity categories </w:t>
      </w:r>
      <w:r>
        <w:rPr>
          <w:szCs w:val="20"/>
        </w:rPr>
        <w:lastRenderedPageBreak/>
        <w:t>that cannot accommodate the natural language diversity of user inputs. Second, emission calculations are frequently based on static, globally averaged emission factors that do not reflect regional energy grid compositions, seasonal variations, or individual consumption patterns. Third, the recommendation engines employed by existing solutions are predominantly rule-based, offering generic advice that lacks personalization and contextual relevance. Fourth, the majority of available tools are either purely web-based calculators lacking persistent tracking or mobile applications with limited analytical depth. The intersection of artificial intelligence and environmental monitoring remains underexplored, particularly with respect to the application of generative LLMs for dynamic emission estimation and recommendation generation.</w:t>
      </w:r>
    </w:p>
    <w:p w14:paraId="41038348" w14:textId="77777777" w:rsidR="000967F0" w:rsidRDefault="000967F0" w:rsidP="000967F0">
      <w:pPr>
        <w:spacing w:before="80" w:after="80" w:line="276" w:lineRule="auto"/>
        <w:rPr>
          <w:szCs w:val="20"/>
        </w:rPr>
      </w:pPr>
    </w:p>
    <w:p w14:paraId="1935C87C" w14:textId="77777777" w:rsidR="000967F0" w:rsidRDefault="000967F0" w:rsidP="000967F0">
      <w:pPr>
        <w:pStyle w:val="Heading2"/>
      </w:pPr>
      <w:bookmarkStart w:id="2" w:name="_Toc232441469"/>
      <w:r>
        <w:rPr>
          <w:rFonts w:ascii="Arial" w:eastAsia="Arial" w:hAnsi="Arial" w:cs="Arial"/>
          <w:b/>
          <w:bCs/>
          <w:color w:val="2E4057"/>
          <w:sz w:val="22"/>
          <w:szCs w:val="22"/>
        </w:rPr>
        <w:t>1.3 The Role of Artificial Intelligence in Sustainability</w:t>
      </w:r>
      <w:bookmarkEnd w:id="2"/>
    </w:p>
    <w:p w14:paraId="3F58F146" w14:textId="77777777" w:rsidR="000967F0" w:rsidRDefault="000967F0" w:rsidP="000967F0">
      <w:pPr>
        <w:spacing w:before="80" w:after="80" w:line="276" w:lineRule="auto"/>
      </w:pPr>
      <w:r>
        <w:rPr>
          <w:szCs w:val="20"/>
        </w:rPr>
        <w:t xml:space="preserve">Recent advances in Large Language Models, particularly transformer-based architectures such as </w:t>
      </w:r>
      <w:proofErr w:type="spellStart"/>
      <w:r>
        <w:rPr>
          <w:szCs w:val="20"/>
        </w:rPr>
        <w:t>LLaMA</w:t>
      </w:r>
      <w:proofErr w:type="spellEnd"/>
      <w:r>
        <w:rPr>
          <w:szCs w:val="20"/>
        </w:rPr>
        <w:t xml:space="preserve"> and Mistral, have demonstrated remarkable capabilities in natural language understanding, structured data extraction, and domain-adaptive reasoning [4]. These models possess the intrinsic capacity to parse unstructured textual descriptions of human activities, infer implicit contextual variables, map described </w:t>
      </w:r>
      <w:proofErr w:type="spellStart"/>
      <w:r>
        <w:rPr>
          <w:szCs w:val="20"/>
        </w:rPr>
        <w:t>behaviors</w:t>
      </w:r>
      <w:proofErr w:type="spellEnd"/>
      <w:r>
        <w:rPr>
          <w:szCs w:val="20"/>
        </w:rPr>
        <w:t xml:space="preserve"> to known emission categories, and generate coherent, evidence-aligned </w:t>
      </w:r>
      <w:proofErr w:type="spellStart"/>
      <w:r>
        <w:rPr>
          <w:szCs w:val="20"/>
        </w:rPr>
        <w:t>behavioral</w:t>
      </w:r>
      <w:proofErr w:type="spellEnd"/>
      <w:r>
        <w:rPr>
          <w:szCs w:val="20"/>
        </w:rPr>
        <w:t xml:space="preserve"> recommendations — tasks that are ideally suited to the requirements of an intelligent carbon tracking system. The emergence of lightweight, locally deployable LLM frameworks such as </w:t>
      </w:r>
      <w:proofErr w:type="spellStart"/>
      <w:r>
        <w:rPr>
          <w:szCs w:val="20"/>
        </w:rPr>
        <w:t>Ollama</w:t>
      </w:r>
      <w:proofErr w:type="spellEnd"/>
      <w:r>
        <w:rPr>
          <w:szCs w:val="20"/>
        </w:rPr>
        <w:t xml:space="preserve"> further reduces the computational and infrastructure barriers to integrating LLM capabilities into web applications, enabling edge deployment without dependency on proprietary cloud APIs.</w:t>
      </w:r>
    </w:p>
    <w:p w14:paraId="522CD50F" w14:textId="77777777" w:rsidR="000967F0" w:rsidRDefault="000967F0" w:rsidP="000967F0">
      <w:pPr>
        <w:spacing w:before="60" w:after="60"/>
      </w:pPr>
    </w:p>
    <w:p w14:paraId="1CF676FE" w14:textId="77777777" w:rsidR="000967F0" w:rsidRDefault="000967F0" w:rsidP="000967F0">
      <w:pPr>
        <w:pStyle w:val="Heading2"/>
      </w:pPr>
      <w:bookmarkStart w:id="3" w:name="_Toc232441470"/>
      <w:r>
        <w:rPr>
          <w:rFonts w:ascii="Arial" w:eastAsia="Arial" w:hAnsi="Arial" w:cs="Arial"/>
          <w:b/>
          <w:bCs/>
          <w:color w:val="2E4057"/>
          <w:sz w:val="22"/>
          <w:szCs w:val="22"/>
        </w:rPr>
        <w:t>1.4 Research Motivation and Objectives</w:t>
      </w:r>
      <w:bookmarkEnd w:id="3"/>
    </w:p>
    <w:p w14:paraId="363FC03F" w14:textId="77777777" w:rsidR="000967F0" w:rsidRDefault="000967F0" w:rsidP="000967F0">
      <w:pPr>
        <w:spacing w:before="80" w:after="80" w:line="276" w:lineRule="auto"/>
      </w:pPr>
      <w:r>
        <w:rPr>
          <w:szCs w:val="20"/>
        </w:rPr>
        <w:t xml:space="preserve">The research presented in this paper is motivated by the hypothesis that the integration of LLMs into a full-stack carbon tracking platform can substantially improve both the accuracy of emission estimation from natural language activity descriptions and the quality and relevance of sustainability recommendations delivered to users. </w:t>
      </w:r>
      <w:proofErr w:type="spellStart"/>
      <w:r>
        <w:rPr>
          <w:szCs w:val="20"/>
        </w:rPr>
        <w:t>CarbonLens</w:t>
      </w:r>
      <w:proofErr w:type="spellEnd"/>
      <w:r>
        <w:rPr>
          <w:szCs w:val="20"/>
        </w:rPr>
        <w:t xml:space="preserve"> is conceived as a system that lowers the cognitive burden on users by accepting free-form natural language activity descriptions, eliminates the need for manual data entry of emission factors, and generates adaptive, personalized sustainability guidance through AI-mediated analysis.</w:t>
      </w:r>
    </w:p>
    <w:p w14:paraId="46BEFFC9" w14:textId="77777777" w:rsidR="000967F0" w:rsidRDefault="000967F0" w:rsidP="000967F0">
      <w:pPr>
        <w:spacing w:before="60" w:after="60"/>
      </w:pPr>
    </w:p>
    <w:p w14:paraId="2867A620" w14:textId="77777777" w:rsidR="000967F0" w:rsidRDefault="000967F0" w:rsidP="000967F0">
      <w:pPr>
        <w:spacing w:before="80" w:after="80" w:line="276" w:lineRule="auto"/>
      </w:pPr>
      <w:r>
        <w:rPr>
          <w:szCs w:val="20"/>
        </w:rPr>
        <w:t>The principal research objectives of this work are:</w:t>
      </w:r>
    </w:p>
    <w:p w14:paraId="2B5CE6E1" w14:textId="77777777" w:rsidR="000967F0" w:rsidRDefault="000967F0" w:rsidP="000967F0">
      <w:pPr>
        <w:pStyle w:val="ListParagraph"/>
        <w:numPr>
          <w:ilvl w:val="0"/>
          <w:numId w:val="1"/>
        </w:numPr>
        <w:spacing w:before="40" w:after="40" w:line="240" w:lineRule="auto"/>
        <w:contextualSpacing w:val="0"/>
        <w:jc w:val="left"/>
      </w:pPr>
      <w:r>
        <w:rPr>
          <w:szCs w:val="20"/>
        </w:rPr>
        <w:t>To design and implement a full-stack web platform for personal carbon footprint monitoring with persistent multi-user support.</w:t>
      </w:r>
    </w:p>
    <w:p w14:paraId="261203A2" w14:textId="77777777" w:rsidR="000967F0" w:rsidRDefault="000967F0" w:rsidP="000967F0">
      <w:pPr>
        <w:pStyle w:val="ListParagraph"/>
        <w:numPr>
          <w:ilvl w:val="0"/>
          <w:numId w:val="1"/>
        </w:numPr>
        <w:spacing w:before="40" w:after="40" w:line="240" w:lineRule="auto"/>
        <w:contextualSpacing w:val="0"/>
        <w:jc w:val="left"/>
      </w:pPr>
      <w:r>
        <w:rPr>
          <w:szCs w:val="20"/>
        </w:rPr>
        <w:t>To develop an LLM-based activity parsing pipeline capable of extracting structured emission-relevant data from unstructured natural language user inputs.</w:t>
      </w:r>
    </w:p>
    <w:p w14:paraId="1C2212AE" w14:textId="77777777" w:rsidR="000967F0" w:rsidRDefault="000967F0" w:rsidP="000967F0">
      <w:pPr>
        <w:pStyle w:val="ListParagraph"/>
        <w:numPr>
          <w:ilvl w:val="0"/>
          <w:numId w:val="1"/>
        </w:numPr>
        <w:spacing w:before="40" w:after="40" w:line="240" w:lineRule="auto"/>
        <w:contextualSpacing w:val="0"/>
        <w:jc w:val="left"/>
      </w:pPr>
      <w:r>
        <w:rPr>
          <w:szCs w:val="20"/>
        </w:rPr>
        <w:t>To construct a carbon score computation engine that integrates extracted activity data with verified emission factors.</w:t>
      </w:r>
    </w:p>
    <w:p w14:paraId="623352DC" w14:textId="77777777" w:rsidR="000967F0" w:rsidRDefault="000967F0" w:rsidP="000967F0">
      <w:pPr>
        <w:pStyle w:val="ListParagraph"/>
        <w:numPr>
          <w:ilvl w:val="0"/>
          <w:numId w:val="1"/>
        </w:numPr>
        <w:spacing w:before="40" w:after="40" w:line="240" w:lineRule="auto"/>
        <w:contextualSpacing w:val="0"/>
        <w:jc w:val="left"/>
      </w:pPr>
      <w:r>
        <w:rPr>
          <w:szCs w:val="20"/>
        </w:rPr>
        <w:t xml:space="preserve">To implement an AI-driven personalized recommendation generation system aligned with user </w:t>
      </w:r>
      <w:proofErr w:type="spellStart"/>
      <w:r>
        <w:rPr>
          <w:szCs w:val="20"/>
        </w:rPr>
        <w:t>behavioral</w:t>
      </w:r>
      <w:proofErr w:type="spellEnd"/>
      <w:r>
        <w:rPr>
          <w:szCs w:val="20"/>
        </w:rPr>
        <w:t xml:space="preserve"> patterns.</w:t>
      </w:r>
    </w:p>
    <w:p w14:paraId="65FE9DDB" w14:textId="77777777" w:rsidR="000967F0" w:rsidRDefault="000967F0" w:rsidP="000967F0">
      <w:pPr>
        <w:pStyle w:val="ListParagraph"/>
        <w:numPr>
          <w:ilvl w:val="0"/>
          <w:numId w:val="1"/>
        </w:numPr>
        <w:spacing w:before="40" w:after="40" w:line="240" w:lineRule="auto"/>
        <w:contextualSpacing w:val="0"/>
        <w:jc w:val="left"/>
      </w:pPr>
      <w:r>
        <w:rPr>
          <w:szCs w:val="20"/>
        </w:rPr>
        <w:t>To build interactive analytical dashboards for temporal carbon trend visualization and reporting.</w:t>
      </w:r>
    </w:p>
    <w:p w14:paraId="73FAD5E3" w14:textId="77777777" w:rsidR="000967F0" w:rsidRDefault="000967F0" w:rsidP="000967F0">
      <w:pPr>
        <w:pStyle w:val="ListParagraph"/>
        <w:numPr>
          <w:ilvl w:val="0"/>
          <w:numId w:val="1"/>
        </w:numPr>
        <w:spacing w:before="40" w:after="40" w:line="240" w:lineRule="auto"/>
        <w:contextualSpacing w:val="0"/>
        <w:jc w:val="left"/>
      </w:pPr>
      <w:r>
        <w:rPr>
          <w:szCs w:val="20"/>
        </w:rPr>
        <w:t>To evaluate system performance across accuracy, latency, usability, and environmental impact dimensions.</w:t>
      </w:r>
    </w:p>
    <w:p w14:paraId="78EC64EA" w14:textId="77777777" w:rsidR="000967F0" w:rsidRDefault="000967F0" w:rsidP="000967F0">
      <w:pPr>
        <w:spacing w:before="60" w:after="60"/>
      </w:pPr>
    </w:p>
    <w:p w14:paraId="1FE8642A" w14:textId="77777777" w:rsidR="000967F0" w:rsidRDefault="000967F0" w:rsidP="000967F0">
      <w:pPr>
        <w:spacing w:before="80" w:after="80" w:line="276" w:lineRule="auto"/>
      </w:pPr>
      <w:r>
        <w:rPr>
          <w:szCs w:val="20"/>
        </w:rPr>
        <w:t>The remainder of this paper is organized as follows: Section 2 presents a comprehensive literature review. Section 3 formalizes the problem statement. Section 4 enumerates research objectives. Section 5 describes the proposed methodology. Sections 6–9 detail the system architecture, implementation, algorithms, and database design. Sections 10–11 present the experimental setup and results. Sections 12–15 discuss advantages, limitations, future scope, and conclusions. References and appendices conclude the paper.</w:t>
      </w:r>
    </w:p>
    <w:p w14:paraId="33A55313" w14:textId="77777777" w:rsidR="000967F0" w:rsidRDefault="000967F0" w:rsidP="000967F0">
      <w:pPr>
        <w:ind w:left="0" w:firstLine="0"/>
      </w:pPr>
      <w:bookmarkStart w:id="4" w:name="_Toc232441471"/>
    </w:p>
    <w:p w14:paraId="38656CB5" w14:textId="3FB68D37" w:rsidR="000967F0" w:rsidRPr="000967F0" w:rsidRDefault="000967F0" w:rsidP="000967F0">
      <w:pPr>
        <w:ind w:left="0" w:firstLine="0"/>
        <w:rPr>
          <w:szCs w:val="20"/>
        </w:rPr>
      </w:pPr>
      <w:r w:rsidRPr="000967F0">
        <w:rPr>
          <w:szCs w:val="20"/>
        </w:rPr>
        <w:t xml:space="preserve">         </w:t>
      </w:r>
      <w:r>
        <w:rPr>
          <w:szCs w:val="20"/>
        </w:rPr>
        <w:t xml:space="preserve">        </w:t>
      </w:r>
      <w:r w:rsidRPr="000967F0">
        <w:rPr>
          <w:rFonts w:ascii="Arial" w:eastAsia="Arial" w:hAnsi="Arial" w:cs="Arial"/>
          <w:b/>
          <w:bCs/>
          <w:color w:val="2E4057"/>
          <w:szCs w:val="20"/>
        </w:rPr>
        <w:t>2. LITERATURE REVIEW</w:t>
      </w:r>
      <w:bookmarkEnd w:id="4"/>
    </w:p>
    <w:p w14:paraId="260832E6" w14:textId="77777777" w:rsidR="000967F0" w:rsidRDefault="000967F0" w:rsidP="000967F0">
      <w:pPr>
        <w:spacing w:before="80" w:after="80" w:line="276" w:lineRule="auto"/>
      </w:pPr>
      <w:r>
        <w:rPr>
          <w:szCs w:val="20"/>
        </w:rPr>
        <w:t xml:space="preserve">This section reviews the body of existing research across eight thematic categories that form the intellectual foundation of </w:t>
      </w:r>
      <w:proofErr w:type="spellStart"/>
      <w:r>
        <w:rPr>
          <w:szCs w:val="20"/>
        </w:rPr>
        <w:t>CarbonLens</w:t>
      </w:r>
      <w:proofErr w:type="spellEnd"/>
      <w:r>
        <w:rPr>
          <w:szCs w:val="20"/>
        </w:rPr>
        <w:t>. The review synthesizes contributions from carbon footprint monitoring systems, AI recommendation platforms, environmental data analytics, and LLM applications, identifying salient research gaps that the proposed system addresses.</w:t>
      </w:r>
    </w:p>
    <w:p w14:paraId="23955E8C" w14:textId="77777777" w:rsidR="000967F0" w:rsidRDefault="000967F0" w:rsidP="000967F0">
      <w:pPr>
        <w:spacing w:before="60" w:after="60"/>
      </w:pPr>
    </w:p>
    <w:p w14:paraId="3458F528" w14:textId="77777777" w:rsidR="000967F0" w:rsidRDefault="000967F0" w:rsidP="000967F0">
      <w:pPr>
        <w:pStyle w:val="Heading2"/>
      </w:pPr>
      <w:bookmarkStart w:id="5" w:name="_Toc232441472"/>
      <w:r>
        <w:rPr>
          <w:rFonts w:ascii="Arial" w:eastAsia="Arial" w:hAnsi="Arial" w:cs="Arial"/>
          <w:b/>
          <w:bCs/>
          <w:color w:val="2E4057"/>
          <w:sz w:val="22"/>
          <w:szCs w:val="22"/>
        </w:rPr>
        <w:t>2.1 Carbon Footprint Monitoring Systems</w:t>
      </w:r>
      <w:bookmarkEnd w:id="5"/>
    </w:p>
    <w:p w14:paraId="53C1C045" w14:textId="77777777" w:rsidR="000967F0" w:rsidRDefault="000967F0" w:rsidP="000967F0">
      <w:pPr>
        <w:spacing w:before="80" w:after="80" w:line="276" w:lineRule="auto"/>
      </w:pPr>
      <w:r>
        <w:rPr>
          <w:szCs w:val="20"/>
        </w:rPr>
        <w:t xml:space="preserve">Early digital carbon footprint calculators were primarily static web forms developed by governmental bodies and environmental NGOs. The UK Department for Environment, Food and Rural Affairs (DEFRA) calculator and the US Environmental Protection Agency (EPA) Household Carbon Footprint Calculator represented the first generation of such tools, providing aggregate annual emission estimates through questionnaire-based data collection [5]. These tools, while foundational, lacked real-time tracking, personalization, and intelligent analysis capabilities. Subsequent academic work by Kim et al. [6] introduced database-backed carbon tracking with temporal analysis </w:t>
      </w:r>
      <w:r>
        <w:rPr>
          <w:szCs w:val="20"/>
        </w:rPr>
        <w:lastRenderedPageBreak/>
        <w:t>features, demonstrating the value of longitudinal emission monitoring. However, these systems still relied on manual, categorical user input and offered no automated activity interpretation.</w:t>
      </w:r>
    </w:p>
    <w:p w14:paraId="4AF9EE82" w14:textId="77777777" w:rsidR="000967F0" w:rsidRDefault="000967F0" w:rsidP="000967F0">
      <w:pPr>
        <w:spacing w:before="60" w:after="60"/>
      </w:pPr>
    </w:p>
    <w:p w14:paraId="713FCA17" w14:textId="77777777" w:rsidR="000967F0" w:rsidRDefault="000967F0" w:rsidP="000967F0">
      <w:pPr>
        <w:pStyle w:val="Heading2"/>
      </w:pPr>
      <w:bookmarkStart w:id="6" w:name="_Toc232441473"/>
      <w:r>
        <w:rPr>
          <w:rFonts w:ascii="Arial" w:eastAsia="Arial" w:hAnsi="Arial" w:cs="Arial"/>
          <w:b/>
          <w:bCs/>
          <w:color w:val="2E4057"/>
          <w:sz w:val="22"/>
          <w:szCs w:val="22"/>
        </w:rPr>
        <w:t>2.2 Sustainability Applications and Mobile Platforms</w:t>
      </w:r>
      <w:bookmarkEnd w:id="6"/>
    </w:p>
    <w:p w14:paraId="3738BE88" w14:textId="77777777" w:rsidR="000967F0" w:rsidRDefault="000967F0" w:rsidP="000967F0">
      <w:pPr>
        <w:spacing w:before="80" w:after="80" w:line="276" w:lineRule="auto"/>
      </w:pPr>
      <w:r>
        <w:rPr>
          <w:szCs w:val="20"/>
        </w:rPr>
        <w:t xml:space="preserve">The proliferation of smartphones </w:t>
      </w:r>
      <w:proofErr w:type="spellStart"/>
      <w:r>
        <w:rPr>
          <w:szCs w:val="20"/>
        </w:rPr>
        <w:t>catalyzed</w:t>
      </w:r>
      <w:proofErr w:type="spellEnd"/>
      <w:r>
        <w:rPr>
          <w:szCs w:val="20"/>
        </w:rPr>
        <w:t xml:space="preserve"> a wave of sustainability-oriented mobile applications. Apps such as </w:t>
      </w:r>
      <w:proofErr w:type="spellStart"/>
      <w:r>
        <w:rPr>
          <w:szCs w:val="20"/>
        </w:rPr>
        <w:t>Oroeco</w:t>
      </w:r>
      <w:proofErr w:type="spellEnd"/>
      <w:r>
        <w:rPr>
          <w:szCs w:val="20"/>
        </w:rPr>
        <w:t xml:space="preserve">, </w:t>
      </w:r>
      <w:proofErr w:type="spellStart"/>
      <w:r>
        <w:rPr>
          <w:szCs w:val="20"/>
        </w:rPr>
        <w:t>JouleBug</w:t>
      </w:r>
      <w:proofErr w:type="spellEnd"/>
      <w:r>
        <w:rPr>
          <w:szCs w:val="20"/>
        </w:rPr>
        <w:t xml:space="preserve">, and Carbon Footprint &amp; CO₂ Tracker popularized gamification elements and social sharing as </w:t>
      </w:r>
      <w:proofErr w:type="spellStart"/>
      <w:r>
        <w:rPr>
          <w:szCs w:val="20"/>
        </w:rPr>
        <w:t>behavioral</w:t>
      </w:r>
      <w:proofErr w:type="spellEnd"/>
      <w:r>
        <w:rPr>
          <w:szCs w:val="20"/>
        </w:rPr>
        <w:t xml:space="preserve"> change mechanisms [7]. Research by Froehlich et al. [8] on the </w:t>
      </w:r>
      <w:proofErr w:type="spellStart"/>
      <w:r>
        <w:rPr>
          <w:szCs w:val="20"/>
        </w:rPr>
        <w:t>EcoMobile</w:t>
      </w:r>
      <w:proofErr w:type="spellEnd"/>
      <w:r>
        <w:rPr>
          <w:szCs w:val="20"/>
        </w:rPr>
        <w:t xml:space="preserve"> platform demonstrated that mobile carbon tracking with immediate feedback loops could reduce transportation-related emissions by up to 17% over a six-month period. However, these applications were constrained by predefined activity taxonomies and rule-based recommendation engines, limiting their adaptability to diverse user </w:t>
      </w:r>
      <w:proofErr w:type="spellStart"/>
      <w:r>
        <w:rPr>
          <w:szCs w:val="20"/>
        </w:rPr>
        <w:t>behaviors</w:t>
      </w:r>
      <w:proofErr w:type="spellEnd"/>
      <w:r>
        <w:rPr>
          <w:szCs w:val="20"/>
        </w:rPr>
        <w:t>. Furthermore, none of these platforms leveraged AI for natural language activity interpretation.</w:t>
      </w:r>
    </w:p>
    <w:p w14:paraId="16F229B8" w14:textId="77777777" w:rsidR="000967F0" w:rsidRDefault="000967F0" w:rsidP="000967F0">
      <w:pPr>
        <w:spacing w:before="60" w:after="60"/>
      </w:pPr>
    </w:p>
    <w:p w14:paraId="6337482A" w14:textId="77777777" w:rsidR="000967F0" w:rsidRDefault="000967F0" w:rsidP="000967F0">
      <w:pPr>
        <w:pStyle w:val="Heading2"/>
      </w:pPr>
      <w:bookmarkStart w:id="7" w:name="_Toc232441474"/>
      <w:r>
        <w:rPr>
          <w:rFonts w:ascii="Arial" w:eastAsia="Arial" w:hAnsi="Arial" w:cs="Arial"/>
          <w:b/>
          <w:bCs/>
          <w:color w:val="2E4057"/>
          <w:sz w:val="22"/>
          <w:szCs w:val="22"/>
        </w:rPr>
        <w:t>2.3 IoT-Based Environmental Monitoring Systems</w:t>
      </w:r>
      <w:bookmarkEnd w:id="7"/>
    </w:p>
    <w:p w14:paraId="5AD868AB" w14:textId="77777777" w:rsidR="000967F0" w:rsidRDefault="000967F0" w:rsidP="000967F0">
      <w:pPr>
        <w:spacing w:before="80" w:after="80" w:line="276" w:lineRule="auto"/>
      </w:pPr>
      <w:r>
        <w:rPr>
          <w:szCs w:val="20"/>
        </w:rPr>
        <w:t xml:space="preserve">The Internet of Things (IoT) has been applied to environmental monitoring through smart meter integration and sensor-based consumption tracking. Reinhardt et al. [9] demonstrated that smart energy meters combined with appliance-level disaggregation could provide highly accurate household electricity consumption attribution. Similarly, GPS-based transportation tracking has been used to automatically detect travel mode and compute associated emissions [10]. While IoT approaches offer high data accuracy, they impose significant hardware infrastructure requirements, limiting accessibility. </w:t>
      </w:r>
      <w:proofErr w:type="spellStart"/>
      <w:r>
        <w:rPr>
          <w:szCs w:val="20"/>
        </w:rPr>
        <w:t>CarbonLens</w:t>
      </w:r>
      <w:proofErr w:type="spellEnd"/>
      <w:r>
        <w:rPr>
          <w:szCs w:val="20"/>
        </w:rPr>
        <w:t xml:space="preserve"> addresses this accessibility gap through software-only, user-reported activity tracking enhanced by AI interpretation.</w:t>
      </w:r>
    </w:p>
    <w:p w14:paraId="3B345A2A" w14:textId="77777777" w:rsidR="000967F0" w:rsidRDefault="000967F0" w:rsidP="000967F0">
      <w:pPr>
        <w:spacing w:before="60" w:after="60"/>
      </w:pPr>
    </w:p>
    <w:p w14:paraId="6273C244" w14:textId="77777777" w:rsidR="000967F0" w:rsidRDefault="000967F0" w:rsidP="000967F0">
      <w:pPr>
        <w:pStyle w:val="Heading2"/>
      </w:pPr>
      <w:bookmarkStart w:id="8" w:name="_Toc232441475"/>
      <w:r>
        <w:rPr>
          <w:rFonts w:ascii="Arial" w:eastAsia="Arial" w:hAnsi="Arial" w:cs="Arial"/>
          <w:b/>
          <w:bCs/>
          <w:color w:val="2E4057"/>
          <w:sz w:val="22"/>
          <w:szCs w:val="22"/>
        </w:rPr>
        <w:t>2.4 AI and Machine Learning for Environmental Analytics</w:t>
      </w:r>
      <w:bookmarkEnd w:id="8"/>
    </w:p>
    <w:p w14:paraId="0DF08FB6" w14:textId="77777777" w:rsidR="000967F0" w:rsidRDefault="000967F0" w:rsidP="000967F0">
      <w:pPr>
        <w:spacing w:before="80" w:after="80" w:line="276" w:lineRule="auto"/>
      </w:pPr>
      <w:r>
        <w:rPr>
          <w:szCs w:val="20"/>
        </w:rPr>
        <w:t xml:space="preserve">Machine learning techniques have been applied to environmental data for emissions prediction, anomaly detection, and consumption pattern analysis. Rolnick et al. [11] provided a comprehensive survey of machine learning applications for climate change, identifying </w:t>
      </w:r>
      <w:proofErr w:type="spellStart"/>
      <w:r>
        <w:rPr>
          <w:szCs w:val="20"/>
        </w:rPr>
        <w:t>behavioral</w:t>
      </w:r>
      <w:proofErr w:type="spellEnd"/>
      <w:r>
        <w:rPr>
          <w:szCs w:val="20"/>
        </w:rPr>
        <w:t xml:space="preserve"> change facilitation as a high-impact application domain. Supervised learning models trained on </w:t>
      </w:r>
      <w:proofErr w:type="spellStart"/>
      <w:r>
        <w:rPr>
          <w:szCs w:val="20"/>
        </w:rPr>
        <w:t>labeled</w:t>
      </w:r>
      <w:proofErr w:type="spellEnd"/>
      <w:r>
        <w:rPr>
          <w:szCs w:val="20"/>
        </w:rPr>
        <w:t xml:space="preserve"> emissions datasets have been used for transport mode detection and energy consumption classification [12]. However, these approaches require </w:t>
      </w:r>
      <w:r>
        <w:rPr>
          <w:szCs w:val="20"/>
        </w:rPr>
        <w:t>large annotated training datasets and lack the generative capacity to produce natural language sustainability recommendations. The advent of transformer-based LLMs represents a paradigm shift that subsumes these specialized models within a unified architecture capable of both analytical and generative tasks.</w:t>
      </w:r>
    </w:p>
    <w:p w14:paraId="60C5E6E6" w14:textId="77777777" w:rsidR="000967F0" w:rsidRDefault="000967F0" w:rsidP="000967F0">
      <w:pPr>
        <w:spacing w:before="60" w:after="60"/>
      </w:pPr>
    </w:p>
    <w:p w14:paraId="2337DEB9" w14:textId="77777777" w:rsidR="000967F0" w:rsidRDefault="000967F0" w:rsidP="000967F0">
      <w:pPr>
        <w:pStyle w:val="Heading2"/>
      </w:pPr>
      <w:bookmarkStart w:id="9" w:name="_Toc232441476"/>
      <w:r>
        <w:rPr>
          <w:rFonts w:ascii="Arial" w:eastAsia="Arial" w:hAnsi="Arial" w:cs="Arial"/>
          <w:b/>
          <w:bCs/>
          <w:color w:val="2E4057"/>
          <w:sz w:val="22"/>
          <w:szCs w:val="22"/>
        </w:rPr>
        <w:t xml:space="preserve">2.5 AI Recommendation Systems for </w:t>
      </w:r>
      <w:proofErr w:type="spellStart"/>
      <w:r>
        <w:rPr>
          <w:rFonts w:ascii="Arial" w:eastAsia="Arial" w:hAnsi="Arial" w:cs="Arial"/>
          <w:b/>
          <w:bCs/>
          <w:color w:val="2E4057"/>
          <w:sz w:val="22"/>
          <w:szCs w:val="22"/>
        </w:rPr>
        <w:t>Behavioral</w:t>
      </w:r>
      <w:proofErr w:type="spellEnd"/>
      <w:r>
        <w:rPr>
          <w:rFonts w:ascii="Arial" w:eastAsia="Arial" w:hAnsi="Arial" w:cs="Arial"/>
          <w:b/>
          <w:bCs/>
          <w:color w:val="2E4057"/>
          <w:sz w:val="22"/>
          <w:szCs w:val="22"/>
        </w:rPr>
        <w:t xml:space="preserve"> Change</w:t>
      </w:r>
      <w:bookmarkEnd w:id="9"/>
    </w:p>
    <w:p w14:paraId="31681887" w14:textId="77777777" w:rsidR="000967F0" w:rsidRDefault="000967F0" w:rsidP="000967F0">
      <w:pPr>
        <w:spacing w:before="80" w:after="80" w:line="276" w:lineRule="auto"/>
      </w:pPr>
      <w:r>
        <w:rPr>
          <w:szCs w:val="20"/>
        </w:rPr>
        <w:t xml:space="preserve">Recommendation systems have been extensively applied in e-commerce and content delivery, but their application to </w:t>
      </w:r>
      <w:proofErr w:type="spellStart"/>
      <w:r>
        <w:rPr>
          <w:szCs w:val="20"/>
        </w:rPr>
        <w:t>behavioral</w:t>
      </w:r>
      <w:proofErr w:type="spellEnd"/>
      <w:r>
        <w:rPr>
          <w:szCs w:val="20"/>
        </w:rPr>
        <w:t xml:space="preserve"> sustainability interventions remains nascent. Research by Starke et al. [13] demonstrated that personalized, context-aware recommendations for sustainable food choices outperformed generic advice in motivating dietary change. Collaborative filtering approaches have been explored for energy conservation recommendations, with Kolter and Jaakkola [14] demonstrating that usage pattern clustering could identify peer-comparison opportunities for household energy reduction. The integration of LLMs into recommendation pipelines, as explored in recent work by Wang et al. [15], enables the generation of natural language explanations and contextually coherent suggestions that significantly improve user engagement and compliance.</w:t>
      </w:r>
    </w:p>
    <w:p w14:paraId="0181CB2A" w14:textId="77777777" w:rsidR="000967F0" w:rsidRDefault="000967F0" w:rsidP="000967F0">
      <w:pPr>
        <w:spacing w:before="60" w:after="60"/>
      </w:pPr>
    </w:p>
    <w:p w14:paraId="6B5BAEBF" w14:textId="2E8AEF13" w:rsidR="000967F0" w:rsidRDefault="000967F0" w:rsidP="000967F0">
      <w:pPr>
        <w:pStyle w:val="Heading2"/>
      </w:pPr>
      <w:bookmarkStart w:id="10" w:name="_Toc232441477"/>
      <w:r>
        <w:rPr>
          <w:rFonts w:ascii="Arial" w:eastAsia="Arial" w:hAnsi="Arial" w:cs="Arial"/>
          <w:b/>
          <w:bCs/>
          <w:color w:val="2E4057"/>
          <w:sz w:val="22"/>
          <w:szCs w:val="22"/>
        </w:rPr>
        <w:t xml:space="preserve">2.6 </w:t>
      </w:r>
      <w:r w:rsidR="006C5DC1">
        <w:rPr>
          <w:rFonts w:ascii="Arial" w:eastAsia="Arial" w:hAnsi="Arial" w:cs="Arial"/>
          <w:b/>
          <w:bCs/>
          <w:color w:val="2E4057"/>
          <w:sz w:val="22"/>
          <w:szCs w:val="22"/>
        </w:rPr>
        <w:t>LARGE LANGUAGE MODELS IN DOMAIN-SPECIFIC APPLICATIONS</w:t>
      </w:r>
      <w:bookmarkEnd w:id="10"/>
    </w:p>
    <w:p w14:paraId="374BC0D6" w14:textId="77777777" w:rsidR="000967F0" w:rsidRDefault="000967F0" w:rsidP="000967F0">
      <w:pPr>
        <w:spacing w:before="80" w:after="80" w:line="276" w:lineRule="auto"/>
      </w:pPr>
      <w:r>
        <w:rPr>
          <w:szCs w:val="20"/>
        </w:rPr>
        <w:t xml:space="preserve">The deployment of LLMs for domain-specific analytical tasks has accelerated following the public availability of models such as </w:t>
      </w:r>
      <w:proofErr w:type="spellStart"/>
      <w:r>
        <w:rPr>
          <w:szCs w:val="20"/>
        </w:rPr>
        <w:t>LLaMA</w:t>
      </w:r>
      <w:proofErr w:type="spellEnd"/>
      <w:r>
        <w:rPr>
          <w:szCs w:val="20"/>
        </w:rPr>
        <w:t xml:space="preserve"> [16] and Mistral [17]. These models demonstrate strong zero-shot and few-shot performance on structured information extraction tasks, including named entity recognition, relation extraction, and numerical reasoning. Research by Wei et al. [18] on chain-of-thought prompting demonstrated that LLMs could perform multi-step reasoning tasks relevant to emission calculation when provided with structured prompts. Guo et al. [19] showed that domain-adapted prompting strategies could achieve near-expert-level performance on specialized scientific question-answering tasks without fine-tuning, a finding directly applicable to the emission estimation task addressed in </w:t>
      </w:r>
      <w:proofErr w:type="spellStart"/>
      <w:r>
        <w:rPr>
          <w:szCs w:val="20"/>
        </w:rPr>
        <w:t>CarbonLens</w:t>
      </w:r>
      <w:proofErr w:type="spellEnd"/>
      <w:r>
        <w:rPr>
          <w:szCs w:val="20"/>
        </w:rPr>
        <w:t>.</w:t>
      </w:r>
    </w:p>
    <w:p w14:paraId="7031A2E3" w14:textId="77777777" w:rsidR="000967F0" w:rsidRDefault="000967F0" w:rsidP="000967F0">
      <w:pPr>
        <w:spacing w:before="60" w:after="60"/>
      </w:pPr>
    </w:p>
    <w:p w14:paraId="3B42D3CE" w14:textId="77777777" w:rsidR="000967F0" w:rsidRDefault="000967F0" w:rsidP="000967F0">
      <w:pPr>
        <w:pStyle w:val="Heading2"/>
      </w:pPr>
      <w:bookmarkStart w:id="11" w:name="_Toc232441478"/>
      <w:r>
        <w:rPr>
          <w:rFonts w:ascii="Arial" w:eastAsia="Arial" w:hAnsi="Arial" w:cs="Arial"/>
          <w:b/>
          <w:bCs/>
          <w:color w:val="2E4057"/>
          <w:sz w:val="22"/>
          <w:szCs w:val="22"/>
        </w:rPr>
        <w:t>2.7 Green Computing and Sustainable Software Engineering</w:t>
      </w:r>
      <w:bookmarkEnd w:id="11"/>
    </w:p>
    <w:p w14:paraId="0DC44AB3" w14:textId="77777777" w:rsidR="000967F0" w:rsidRDefault="000967F0" w:rsidP="000967F0">
      <w:pPr>
        <w:spacing w:before="80" w:after="80" w:line="276" w:lineRule="auto"/>
      </w:pPr>
      <w:r>
        <w:rPr>
          <w:szCs w:val="20"/>
        </w:rPr>
        <w:t xml:space="preserve">The field of green computing addresses the environmental impact of information technology systems and the role of software in promoting energy efficiency. Locally deployed LLM inference frameworks such as </w:t>
      </w:r>
      <w:proofErr w:type="spellStart"/>
      <w:r>
        <w:rPr>
          <w:szCs w:val="20"/>
        </w:rPr>
        <w:lastRenderedPageBreak/>
        <w:t>Ollama</w:t>
      </w:r>
      <w:proofErr w:type="spellEnd"/>
      <w:r>
        <w:rPr>
          <w:szCs w:val="20"/>
        </w:rPr>
        <w:t xml:space="preserve"> represent a meaningful advancement in green computing by enabling AI inference on commodity hardware without the energy overhead of cloud-based API calls [20]. Research on sustainable software engineering by Penzenstadler and Fleischmann [21] established a framework for embedding sustainability considerations into software development practices, advocating for energy-efficient algorithms and minimal-overhead architectures — principles that informed the design decisions of </w:t>
      </w:r>
      <w:proofErr w:type="spellStart"/>
      <w:r>
        <w:rPr>
          <w:szCs w:val="20"/>
        </w:rPr>
        <w:t>CarbonLens</w:t>
      </w:r>
      <w:proofErr w:type="spellEnd"/>
      <w:r>
        <w:rPr>
          <w:szCs w:val="20"/>
        </w:rPr>
        <w:t>.</w:t>
      </w:r>
    </w:p>
    <w:p w14:paraId="3E7265BB" w14:textId="77777777" w:rsidR="000967F0" w:rsidRDefault="000967F0" w:rsidP="000967F0">
      <w:pPr>
        <w:spacing w:before="60" w:after="60"/>
      </w:pPr>
    </w:p>
    <w:p w14:paraId="45B59352" w14:textId="77777777" w:rsidR="000967F0" w:rsidRDefault="000967F0" w:rsidP="000967F0">
      <w:pPr>
        <w:pStyle w:val="Heading2"/>
      </w:pPr>
      <w:bookmarkStart w:id="12" w:name="_Toc232441479"/>
      <w:r>
        <w:rPr>
          <w:rFonts w:ascii="Arial" w:eastAsia="Arial" w:hAnsi="Arial" w:cs="Arial"/>
          <w:b/>
          <w:bCs/>
          <w:color w:val="2E4057"/>
          <w:sz w:val="22"/>
          <w:szCs w:val="22"/>
        </w:rPr>
        <w:t>2.8 Personalized Environmental Data Dashboards</w:t>
      </w:r>
      <w:bookmarkEnd w:id="12"/>
    </w:p>
    <w:p w14:paraId="55D2F60A" w14:textId="61E18934" w:rsidR="000967F0" w:rsidRDefault="000967F0" w:rsidP="000967F0">
      <w:pPr>
        <w:spacing w:before="80" w:after="80" w:line="276" w:lineRule="auto"/>
        <w:rPr>
          <w:szCs w:val="20"/>
        </w:rPr>
      </w:pPr>
      <w:r>
        <w:rPr>
          <w:szCs w:val="20"/>
        </w:rPr>
        <w:t xml:space="preserve">Interactive data visualization has been identified as a critical enabler of environmental awareness and behavior change. Research by Froehlich et al. [22] demonstrated that real-time energy consumption dashboards with comparative feedback reduced household energy use by up to 20%. Temporal trend visualization, enabling users to observe their emission trajectories over time, has been shown to reinforce goal-setting behavior and sustain engagement with tracking tools. However, existing dashboard implementations for environmental monitoring have not integrated LLM-generated insights alongside quantitative charts, representing a design opportunity exploited by </w:t>
      </w:r>
      <w:proofErr w:type="spellStart"/>
      <w:r>
        <w:rPr>
          <w:szCs w:val="20"/>
        </w:rPr>
        <w:t>CarbonLens</w:t>
      </w:r>
      <w:proofErr w:type="spellEnd"/>
    </w:p>
    <w:p w14:paraId="1FA40CC0" w14:textId="77777777" w:rsidR="00817570" w:rsidRDefault="00817570" w:rsidP="00817570">
      <w:pPr>
        <w:pStyle w:val="Heading2"/>
      </w:pPr>
      <w:bookmarkStart w:id="13" w:name="_Toc232441480"/>
      <w:r>
        <w:rPr>
          <w:rFonts w:ascii="Arial" w:eastAsia="Arial" w:hAnsi="Arial" w:cs="Arial"/>
          <w:b/>
          <w:bCs/>
          <w:color w:val="2E4057"/>
          <w:sz w:val="22"/>
          <w:szCs w:val="22"/>
        </w:rPr>
        <w:t>2.9 Comparative Analysis and Research Gap</w:t>
      </w:r>
      <w:bookmarkEnd w:id="13"/>
    </w:p>
    <w:p w14:paraId="7389E795" w14:textId="77777777" w:rsidR="00817570" w:rsidRDefault="00817570" w:rsidP="00817570">
      <w:pPr>
        <w:spacing w:before="80" w:after="80" w:line="276" w:lineRule="auto"/>
      </w:pPr>
      <w:r>
        <w:rPr>
          <w:szCs w:val="20"/>
        </w:rPr>
        <w:t xml:space="preserve">Table I summarizes the capabilities of representative existing systems relative to </w:t>
      </w:r>
      <w:proofErr w:type="spellStart"/>
      <w:r>
        <w:rPr>
          <w:szCs w:val="20"/>
        </w:rPr>
        <w:t>CarbonLens</w:t>
      </w:r>
      <w:proofErr w:type="spellEnd"/>
      <w:r>
        <w:rPr>
          <w:szCs w:val="20"/>
        </w:rPr>
        <w:t>, revealing the critical gaps that the proposed system addresses.</w:t>
      </w:r>
    </w:p>
    <w:tbl>
      <w:tblPr>
        <w:tblStyle w:val="TableGrid0"/>
        <w:tblW w:w="0" w:type="auto"/>
        <w:tblInd w:w="152" w:type="dxa"/>
        <w:tblLook w:val="04A0" w:firstRow="1" w:lastRow="0" w:firstColumn="1" w:lastColumn="0" w:noHBand="0" w:noVBand="1"/>
      </w:tblPr>
      <w:tblGrid>
        <w:gridCol w:w="701"/>
        <w:gridCol w:w="1186"/>
        <w:gridCol w:w="1011"/>
        <w:gridCol w:w="653"/>
        <w:gridCol w:w="752"/>
      </w:tblGrid>
      <w:tr w:rsidR="00817570" w14:paraId="38E62E59" w14:textId="77777777" w:rsidTr="007401D2">
        <w:tc>
          <w:tcPr>
            <w:tcW w:w="729" w:type="dxa"/>
          </w:tcPr>
          <w:p w14:paraId="27C11B48" w14:textId="2CE237DE" w:rsidR="00817570" w:rsidRPr="007401D2" w:rsidRDefault="00817570" w:rsidP="000967F0">
            <w:pPr>
              <w:spacing w:before="80" w:after="80" w:line="276" w:lineRule="auto"/>
              <w:ind w:left="0" w:firstLine="0"/>
              <w:rPr>
                <w:b/>
                <w:bCs/>
                <w:szCs w:val="20"/>
              </w:rPr>
            </w:pPr>
            <w:r w:rsidRPr="007401D2">
              <w:rPr>
                <w:b/>
                <w:bCs/>
                <w:szCs w:val="20"/>
              </w:rPr>
              <w:t>System</w:t>
            </w:r>
          </w:p>
        </w:tc>
        <w:tc>
          <w:tcPr>
            <w:tcW w:w="1216" w:type="dxa"/>
          </w:tcPr>
          <w:p w14:paraId="36405D91" w14:textId="22D7A5A6" w:rsidR="00817570" w:rsidRPr="007401D2" w:rsidRDefault="00817570" w:rsidP="000967F0">
            <w:pPr>
              <w:spacing w:before="80" w:after="80" w:line="276" w:lineRule="auto"/>
              <w:ind w:left="0" w:firstLine="0"/>
              <w:rPr>
                <w:b/>
                <w:bCs/>
                <w:szCs w:val="20"/>
              </w:rPr>
            </w:pPr>
            <w:r w:rsidRPr="007401D2">
              <w:rPr>
                <w:b/>
                <w:bCs/>
                <w:szCs w:val="20"/>
              </w:rPr>
              <w:t>AI/NLP</w:t>
            </w:r>
          </w:p>
        </w:tc>
        <w:tc>
          <w:tcPr>
            <w:tcW w:w="972" w:type="dxa"/>
          </w:tcPr>
          <w:p w14:paraId="5E52574B" w14:textId="139C9D66" w:rsidR="00817570" w:rsidRPr="007401D2" w:rsidRDefault="00817570" w:rsidP="000967F0">
            <w:pPr>
              <w:spacing w:before="80" w:after="80" w:line="276" w:lineRule="auto"/>
              <w:ind w:left="0" w:firstLine="0"/>
              <w:rPr>
                <w:b/>
                <w:bCs/>
                <w:szCs w:val="20"/>
              </w:rPr>
            </w:pPr>
            <w:r w:rsidRPr="007401D2">
              <w:rPr>
                <w:b/>
                <w:bCs/>
                <w:szCs w:val="20"/>
              </w:rPr>
              <w:t>Strengths</w:t>
            </w:r>
          </w:p>
        </w:tc>
        <w:tc>
          <w:tcPr>
            <w:tcW w:w="643" w:type="dxa"/>
          </w:tcPr>
          <w:p w14:paraId="17EBCD5D" w14:textId="4E1B929F" w:rsidR="00817570" w:rsidRPr="004B4E5A" w:rsidRDefault="00817570" w:rsidP="000967F0">
            <w:pPr>
              <w:spacing w:before="80" w:after="80" w:line="276" w:lineRule="auto"/>
              <w:ind w:left="0" w:firstLine="0"/>
              <w:rPr>
                <w:b/>
                <w:bCs/>
                <w:szCs w:val="20"/>
              </w:rPr>
            </w:pPr>
            <w:proofErr w:type="spellStart"/>
            <w:r w:rsidRPr="004B4E5A">
              <w:rPr>
                <w:b/>
                <w:bCs/>
                <w:szCs w:val="20"/>
              </w:rPr>
              <w:t>Limititation</w:t>
            </w:r>
            <w:proofErr w:type="spellEnd"/>
          </w:p>
        </w:tc>
        <w:tc>
          <w:tcPr>
            <w:tcW w:w="743" w:type="dxa"/>
          </w:tcPr>
          <w:p w14:paraId="4C321897" w14:textId="4B087392" w:rsidR="00817570" w:rsidRPr="004B4E5A" w:rsidRDefault="00817570" w:rsidP="000967F0">
            <w:pPr>
              <w:spacing w:before="80" w:after="80" w:line="276" w:lineRule="auto"/>
              <w:ind w:left="0" w:firstLine="0"/>
              <w:rPr>
                <w:b/>
                <w:bCs/>
                <w:szCs w:val="20"/>
              </w:rPr>
            </w:pPr>
            <w:r w:rsidRPr="004B4E5A">
              <w:rPr>
                <w:b/>
                <w:bCs/>
                <w:szCs w:val="20"/>
              </w:rPr>
              <w:t>Research gap</w:t>
            </w:r>
          </w:p>
        </w:tc>
      </w:tr>
      <w:tr w:rsidR="007401D2" w14:paraId="129162E0" w14:textId="77777777" w:rsidTr="007401D2">
        <w:tc>
          <w:tcPr>
            <w:tcW w:w="729" w:type="dxa"/>
          </w:tcPr>
          <w:p w14:paraId="718CEFD6" w14:textId="376FA24F" w:rsidR="007401D2" w:rsidRPr="00817570" w:rsidRDefault="007401D2" w:rsidP="007401D2">
            <w:pPr>
              <w:spacing w:before="80" w:after="80" w:line="276" w:lineRule="auto"/>
              <w:ind w:left="0" w:firstLine="0"/>
              <w:rPr>
                <w:szCs w:val="20"/>
              </w:rPr>
            </w:pPr>
            <w:r w:rsidRPr="00817570">
              <w:rPr>
                <w:color w:val="1A1A1A"/>
                <w:sz w:val="18"/>
                <w:szCs w:val="18"/>
              </w:rPr>
              <w:t>EPA Calculator</w:t>
            </w:r>
          </w:p>
        </w:tc>
        <w:tc>
          <w:tcPr>
            <w:tcW w:w="1216" w:type="dxa"/>
          </w:tcPr>
          <w:p w14:paraId="46D9C6F9" w14:textId="32DDC259" w:rsidR="007401D2" w:rsidRDefault="007401D2" w:rsidP="007401D2">
            <w:pPr>
              <w:spacing w:before="80" w:after="80" w:line="276" w:lineRule="auto"/>
              <w:ind w:left="0" w:firstLine="0"/>
              <w:rPr>
                <w:szCs w:val="20"/>
              </w:rPr>
            </w:pPr>
            <w:r>
              <w:rPr>
                <w:color w:val="1A1A1A"/>
                <w:sz w:val="18"/>
                <w:szCs w:val="18"/>
              </w:rPr>
              <w:t>None</w:t>
            </w:r>
          </w:p>
        </w:tc>
        <w:tc>
          <w:tcPr>
            <w:tcW w:w="972" w:type="dxa"/>
          </w:tcPr>
          <w:p w14:paraId="2BB31D65" w14:textId="145EB790" w:rsidR="007401D2" w:rsidRDefault="007401D2" w:rsidP="007401D2">
            <w:pPr>
              <w:spacing w:before="80" w:after="80" w:line="276" w:lineRule="auto"/>
              <w:ind w:left="0" w:firstLine="0"/>
              <w:rPr>
                <w:szCs w:val="20"/>
              </w:rPr>
            </w:pPr>
            <w:r>
              <w:rPr>
                <w:color w:val="1A1A1A"/>
                <w:sz w:val="18"/>
                <w:szCs w:val="18"/>
              </w:rPr>
              <w:t>Official emission factors; free access</w:t>
            </w:r>
          </w:p>
        </w:tc>
        <w:tc>
          <w:tcPr>
            <w:tcW w:w="643" w:type="dxa"/>
          </w:tcPr>
          <w:p w14:paraId="117B647D" w14:textId="10B4CCD5" w:rsidR="007401D2" w:rsidRDefault="007401D2" w:rsidP="007401D2">
            <w:pPr>
              <w:spacing w:before="80" w:after="80" w:line="276" w:lineRule="auto"/>
              <w:ind w:left="0" w:firstLine="0"/>
              <w:rPr>
                <w:szCs w:val="20"/>
              </w:rPr>
            </w:pPr>
            <w:r>
              <w:rPr>
                <w:color w:val="1A1A1A"/>
                <w:sz w:val="18"/>
                <w:szCs w:val="18"/>
              </w:rPr>
              <w:t>Static questionnaire; no tracking; no NLP</w:t>
            </w:r>
          </w:p>
        </w:tc>
        <w:tc>
          <w:tcPr>
            <w:tcW w:w="743" w:type="dxa"/>
          </w:tcPr>
          <w:p w14:paraId="45CADD1C" w14:textId="0322BFBB" w:rsidR="007401D2" w:rsidRDefault="007401D2" w:rsidP="007401D2">
            <w:pPr>
              <w:spacing w:before="80" w:after="80" w:line="276" w:lineRule="auto"/>
              <w:ind w:left="0" w:firstLine="0"/>
              <w:rPr>
                <w:szCs w:val="20"/>
              </w:rPr>
            </w:pPr>
            <w:r>
              <w:rPr>
                <w:color w:val="1A1A1A"/>
                <w:sz w:val="18"/>
                <w:szCs w:val="18"/>
              </w:rPr>
              <w:t>Dynamic AI-based activity parsing</w:t>
            </w:r>
          </w:p>
        </w:tc>
      </w:tr>
      <w:tr w:rsidR="007401D2" w14:paraId="183D4299" w14:textId="77777777" w:rsidTr="007401D2">
        <w:tc>
          <w:tcPr>
            <w:tcW w:w="729" w:type="dxa"/>
          </w:tcPr>
          <w:p w14:paraId="6E8AEDD5" w14:textId="1713408B" w:rsidR="007401D2" w:rsidRPr="00817570" w:rsidRDefault="007401D2" w:rsidP="007401D2">
            <w:pPr>
              <w:spacing w:before="80" w:after="80" w:line="276" w:lineRule="auto"/>
              <w:ind w:left="0" w:firstLine="0"/>
              <w:rPr>
                <w:szCs w:val="20"/>
              </w:rPr>
            </w:pPr>
            <w:proofErr w:type="spellStart"/>
            <w:r w:rsidRPr="00817570">
              <w:rPr>
                <w:color w:val="1A1A1A"/>
                <w:sz w:val="18"/>
                <w:szCs w:val="18"/>
              </w:rPr>
              <w:t>Oroeco</w:t>
            </w:r>
            <w:proofErr w:type="spellEnd"/>
            <w:r w:rsidRPr="00817570">
              <w:rPr>
                <w:color w:val="1A1A1A"/>
                <w:sz w:val="18"/>
                <w:szCs w:val="18"/>
              </w:rPr>
              <w:t xml:space="preserve"> / </w:t>
            </w:r>
            <w:proofErr w:type="spellStart"/>
            <w:r w:rsidRPr="00817570">
              <w:rPr>
                <w:color w:val="1A1A1A"/>
                <w:sz w:val="18"/>
                <w:szCs w:val="18"/>
              </w:rPr>
              <w:t>JouleBug</w:t>
            </w:r>
            <w:proofErr w:type="spellEnd"/>
          </w:p>
        </w:tc>
        <w:tc>
          <w:tcPr>
            <w:tcW w:w="1216" w:type="dxa"/>
          </w:tcPr>
          <w:p w14:paraId="62D30900" w14:textId="0075A288" w:rsidR="007401D2" w:rsidRDefault="007401D2" w:rsidP="007401D2">
            <w:pPr>
              <w:spacing w:before="80" w:after="80" w:line="276" w:lineRule="auto"/>
              <w:ind w:left="0" w:firstLine="0"/>
              <w:rPr>
                <w:szCs w:val="20"/>
              </w:rPr>
            </w:pPr>
            <w:r>
              <w:rPr>
                <w:color w:val="1A1A1A"/>
                <w:sz w:val="18"/>
                <w:szCs w:val="18"/>
              </w:rPr>
              <w:t>Rule-based</w:t>
            </w:r>
          </w:p>
        </w:tc>
        <w:tc>
          <w:tcPr>
            <w:tcW w:w="972" w:type="dxa"/>
          </w:tcPr>
          <w:p w14:paraId="550D3252" w14:textId="67220CD2" w:rsidR="007401D2" w:rsidRDefault="007401D2" w:rsidP="007401D2">
            <w:pPr>
              <w:spacing w:before="80" w:after="80" w:line="276" w:lineRule="auto"/>
              <w:ind w:left="0" w:firstLine="0"/>
              <w:rPr>
                <w:szCs w:val="20"/>
              </w:rPr>
            </w:pPr>
            <w:r>
              <w:rPr>
                <w:color w:val="1A1A1A"/>
                <w:sz w:val="18"/>
                <w:szCs w:val="18"/>
              </w:rPr>
              <w:t>Gamification; mobile UX; social features</w:t>
            </w:r>
          </w:p>
        </w:tc>
        <w:tc>
          <w:tcPr>
            <w:tcW w:w="643" w:type="dxa"/>
          </w:tcPr>
          <w:p w14:paraId="76504E26" w14:textId="2052D4B9" w:rsidR="007401D2" w:rsidRDefault="007401D2" w:rsidP="007401D2">
            <w:pPr>
              <w:spacing w:before="80" w:after="80" w:line="276" w:lineRule="auto"/>
              <w:ind w:left="0" w:firstLine="0"/>
              <w:rPr>
                <w:szCs w:val="20"/>
              </w:rPr>
            </w:pPr>
            <w:r>
              <w:rPr>
                <w:color w:val="1A1A1A"/>
                <w:sz w:val="18"/>
                <w:szCs w:val="18"/>
              </w:rPr>
              <w:t xml:space="preserve">No NLP; rigid categories; no </w:t>
            </w:r>
            <w:r>
              <w:rPr>
                <w:color w:val="1A1A1A"/>
                <w:sz w:val="18"/>
                <w:szCs w:val="18"/>
              </w:rPr>
              <w:t>personalization</w:t>
            </w:r>
          </w:p>
        </w:tc>
        <w:tc>
          <w:tcPr>
            <w:tcW w:w="743" w:type="dxa"/>
          </w:tcPr>
          <w:p w14:paraId="01D30A42" w14:textId="24B76E10" w:rsidR="007401D2" w:rsidRDefault="007401D2" w:rsidP="007401D2">
            <w:pPr>
              <w:spacing w:before="80" w:after="80" w:line="276" w:lineRule="auto"/>
              <w:ind w:left="0" w:firstLine="0"/>
              <w:rPr>
                <w:szCs w:val="20"/>
              </w:rPr>
            </w:pPr>
            <w:r>
              <w:rPr>
                <w:color w:val="1A1A1A"/>
                <w:sz w:val="18"/>
                <w:szCs w:val="18"/>
              </w:rPr>
              <w:t>LLM-driven free-text interpretation</w:t>
            </w:r>
          </w:p>
        </w:tc>
      </w:tr>
      <w:tr w:rsidR="007401D2" w14:paraId="149B06F9" w14:textId="77777777" w:rsidTr="007401D2">
        <w:tc>
          <w:tcPr>
            <w:tcW w:w="729" w:type="dxa"/>
          </w:tcPr>
          <w:p w14:paraId="0130990B" w14:textId="4B3F87B2" w:rsidR="007401D2" w:rsidRPr="00817570" w:rsidRDefault="007401D2" w:rsidP="007401D2">
            <w:pPr>
              <w:spacing w:before="80" w:after="80" w:line="276" w:lineRule="auto"/>
              <w:ind w:left="0" w:firstLine="0"/>
              <w:rPr>
                <w:szCs w:val="20"/>
              </w:rPr>
            </w:pPr>
            <w:proofErr w:type="spellStart"/>
            <w:r w:rsidRPr="00817570">
              <w:rPr>
                <w:color w:val="1A1A1A"/>
                <w:sz w:val="18"/>
                <w:szCs w:val="18"/>
              </w:rPr>
              <w:t>EcoMobile</w:t>
            </w:r>
            <w:proofErr w:type="spellEnd"/>
          </w:p>
        </w:tc>
        <w:tc>
          <w:tcPr>
            <w:tcW w:w="1216" w:type="dxa"/>
          </w:tcPr>
          <w:p w14:paraId="406BDA9E" w14:textId="3BE8F8D9" w:rsidR="007401D2" w:rsidRDefault="007401D2" w:rsidP="007401D2">
            <w:pPr>
              <w:spacing w:before="80" w:after="80" w:line="276" w:lineRule="auto"/>
              <w:ind w:left="0" w:firstLine="0"/>
              <w:rPr>
                <w:szCs w:val="20"/>
              </w:rPr>
            </w:pPr>
            <w:r>
              <w:rPr>
                <w:color w:val="1A1A1A"/>
                <w:sz w:val="18"/>
                <w:szCs w:val="18"/>
              </w:rPr>
              <w:t>GPS/Sensor</w:t>
            </w:r>
          </w:p>
        </w:tc>
        <w:tc>
          <w:tcPr>
            <w:tcW w:w="972" w:type="dxa"/>
          </w:tcPr>
          <w:p w14:paraId="04AEABE8" w14:textId="2C061FC6" w:rsidR="007401D2" w:rsidRDefault="007401D2" w:rsidP="007401D2">
            <w:pPr>
              <w:spacing w:before="80" w:after="80" w:line="276" w:lineRule="auto"/>
              <w:ind w:left="0" w:firstLine="0"/>
              <w:rPr>
                <w:szCs w:val="20"/>
              </w:rPr>
            </w:pPr>
            <w:r>
              <w:rPr>
                <w:color w:val="1A1A1A"/>
                <w:sz w:val="18"/>
                <w:szCs w:val="18"/>
              </w:rPr>
              <w:t>Automatic mode detection; high accuracy</w:t>
            </w:r>
          </w:p>
        </w:tc>
        <w:tc>
          <w:tcPr>
            <w:tcW w:w="643" w:type="dxa"/>
          </w:tcPr>
          <w:p w14:paraId="3C058D51" w14:textId="01FDBF1B" w:rsidR="007401D2" w:rsidRDefault="007401D2" w:rsidP="007401D2">
            <w:pPr>
              <w:spacing w:before="80" w:after="80" w:line="276" w:lineRule="auto"/>
              <w:ind w:left="0" w:firstLine="0"/>
              <w:rPr>
                <w:szCs w:val="20"/>
              </w:rPr>
            </w:pPr>
            <w:r>
              <w:rPr>
                <w:color w:val="1A1A1A"/>
                <w:sz w:val="18"/>
                <w:szCs w:val="18"/>
              </w:rPr>
              <w:t>Requires IoT hardware; not deployable on web</w:t>
            </w:r>
          </w:p>
        </w:tc>
        <w:tc>
          <w:tcPr>
            <w:tcW w:w="743" w:type="dxa"/>
          </w:tcPr>
          <w:p w14:paraId="3C0B3272" w14:textId="7E992FEB" w:rsidR="007401D2" w:rsidRDefault="007401D2" w:rsidP="007401D2">
            <w:pPr>
              <w:spacing w:before="80" w:after="80" w:line="276" w:lineRule="auto"/>
              <w:ind w:left="0" w:firstLine="0"/>
              <w:rPr>
                <w:szCs w:val="20"/>
              </w:rPr>
            </w:pPr>
            <w:r>
              <w:rPr>
                <w:color w:val="1A1A1A"/>
                <w:sz w:val="18"/>
                <w:szCs w:val="18"/>
              </w:rPr>
              <w:t>Software-only with NLP; no hardware dependency</w:t>
            </w:r>
          </w:p>
        </w:tc>
      </w:tr>
      <w:tr w:rsidR="007401D2" w14:paraId="4E7B29E8" w14:textId="77777777" w:rsidTr="007401D2">
        <w:trPr>
          <w:trHeight w:val="491"/>
        </w:trPr>
        <w:tc>
          <w:tcPr>
            <w:tcW w:w="729" w:type="dxa"/>
          </w:tcPr>
          <w:p w14:paraId="1A6743D8" w14:textId="40D1ED91" w:rsidR="007401D2" w:rsidRPr="00817570" w:rsidRDefault="007401D2" w:rsidP="007401D2">
            <w:pPr>
              <w:spacing w:before="80" w:after="80" w:line="276" w:lineRule="auto"/>
              <w:ind w:left="0" w:firstLine="0"/>
              <w:rPr>
                <w:szCs w:val="20"/>
              </w:rPr>
            </w:pPr>
            <w:r w:rsidRPr="00817570">
              <w:rPr>
                <w:color w:val="1A1A1A"/>
                <w:sz w:val="18"/>
                <w:szCs w:val="18"/>
              </w:rPr>
              <w:t>ML-Based Trackers</w:t>
            </w:r>
          </w:p>
        </w:tc>
        <w:tc>
          <w:tcPr>
            <w:tcW w:w="1216" w:type="dxa"/>
          </w:tcPr>
          <w:p w14:paraId="06A27097" w14:textId="739F7492" w:rsidR="007401D2" w:rsidRDefault="007401D2" w:rsidP="007401D2">
            <w:pPr>
              <w:spacing w:before="80" w:after="80" w:line="276" w:lineRule="auto"/>
              <w:ind w:left="0" w:firstLine="0"/>
              <w:rPr>
                <w:szCs w:val="20"/>
              </w:rPr>
            </w:pPr>
            <w:r>
              <w:rPr>
                <w:color w:val="1A1A1A"/>
                <w:sz w:val="18"/>
                <w:szCs w:val="18"/>
              </w:rPr>
              <w:t>Supervised ML</w:t>
            </w:r>
          </w:p>
        </w:tc>
        <w:tc>
          <w:tcPr>
            <w:tcW w:w="972" w:type="dxa"/>
          </w:tcPr>
          <w:p w14:paraId="20C61066" w14:textId="55D044A8" w:rsidR="007401D2" w:rsidRDefault="007401D2" w:rsidP="007401D2">
            <w:pPr>
              <w:spacing w:before="80" w:after="80" w:line="276" w:lineRule="auto"/>
              <w:ind w:left="0" w:firstLine="0"/>
              <w:rPr>
                <w:szCs w:val="20"/>
              </w:rPr>
            </w:pPr>
            <w:r>
              <w:rPr>
                <w:color w:val="1A1A1A"/>
                <w:sz w:val="18"/>
                <w:szCs w:val="18"/>
              </w:rPr>
              <w:t xml:space="preserve">High accuracy on </w:t>
            </w:r>
            <w:proofErr w:type="spellStart"/>
            <w:r>
              <w:rPr>
                <w:color w:val="1A1A1A"/>
                <w:sz w:val="18"/>
                <w:szCs w:val="18"/>
              </w:rPr>
              <w:t>labeled</w:t>
            </w:r>
            <w:proofErr w:type="spellEnd"/>
            <w:r>
              <w:rPr>
                <w:color w:val="1A1A1A"/>
                <w:sz w:val="18"/>
                <w:szCs w:val="18"/>
              </w:rPr>
              <w:t xml:space="preserve"> data; pattern recognition</w:t>
            </w:r>
          </w:p>
        </w:tc>
        <w:tc>
          <w:tcPr>
            <w:tcW w:w="643" w:type="dxa"/>
          </w:tcPr>
          <w:p w14:paraId="696FCDBA" w14:textId="31E6BC5F" w:rsidR="007401D2" w:rsidRDefault="007401D2" w:rsidP="007401D2">
            <w:pPr>
              <w:spacing w:before="80" w:after="80" w:line="276" w:lineRule="auto"/>
              <w:ind w:left="0" w:firstLine="0"/>
              <w:rPr>
                <w:szCs w:val="20"/>
              </w:rPr>
            </w:pPr>
            <w:r>
              <w:rPr>
                <w:color w:val="1A1A1A"/>
                <w:sz w:val="18"/>
                <w:szCs w:val="18"/>
              </w:rPr>
              <w:t>Requires large training datasets; not generative</w:t>
            </w:r>
          </w:p>
        </w:tc>
        <w:tc>
          <w:tcPr>
            <w:tcW w:w="743" w:type="dxa"/>
          </w:tcPr>
          <w:p w14:paraId="01344D03" w14:textId="7BD54C18" w:rsidR="007401D2" w:rsidRDefault="007401D2" w:rsidP="007401D2">
            <w:pPr>
              <w:spacing w:before="80" w:after="80" w:line="276" w:lineRule="auto"/>
              <w:ind w:left="0" w:firstLine="0"/>
              <w:rPr>
                <w:szCs w:val="20"/>
              </w:rPr>
            </w:pPr>
            <w:r>
              <w:rPr>
                <w:color w:val="1A1A1A"/>
                <w:sz w:val="18"/>
                <w:szCs w:val="18"/>
              </w:rPr>
              <w:t xml:space="preserve">Zero-shot LLM inference; no </w:t>
            </w:r>
            <w:proofErr w:type="spellStart"/>
            <w:r>
              <w:rPr>
                <w:color w:val="1A1A1A"/>
                <w:sz w:val="18"/>
                <w:szCs w:val="18"/>
              </w:rPr>
              <w:t>labeled</w:t>
            </w:r>
            <w:proofErr w:type="spellEnd"/>
            <w:r>
              <w:rPr>
                <w:color w:val="1A1A1A"/>
                <w:sz w:val="18"/>
                <w:szCs w:val="18"/>
              </w:rPr>
              <w:t xml:space="preserve"> dataset needed</w:t>
            </w:r>
          </w:p>
        </w:tc>
      </w:tr>
      <w:tr w:rsidR="007401D2" w14:paraId="29EFDF24" w14:textId="77777777" w:rsidTr="007401D2">
        <w:trPr>
          <w:trHeight w:val="491"/>
        </w:trPr>
        <w:tc>
          <w:tcPr>
            <w:tcW w:w="729" w:type="dxa"/>
          </w:tcPr>
          <w:p w14:paraId="14D146A0" w14:textId="7E872476" w:rsidR="007401D2" w:rsidRDefault="007401D2" w:rsidP="007401D2">
            <w:pPr>
              <w:spacing w:before="80" w:after="80" w:line="276" w:lineRule="auto"/>
              <w:ind w:left="0" w:firstLine="0"/>
              <w:rPr>
                <w:szCs w:val="20"/>
              </w:rPr>
            </w:pPr>
            <w:proofErr w:type="spellStart"/>
            <w:r>
              <w:rPr>
                <w:b/>
                <w:bCs/>
                <w:color w:val="1A1A1A"/>
                <w:sz w:val="18"/>
                <w:szCs w:val="18"/>
              </w:rPr>
              <w:t>CarbonLens</w:t>
            </w:r>
            <w:proofErr w:type="spellEnd"/>
            <w:r>
              <w:rPr>
                <w:b/>
                <w:bCs/>
                <w:color w:val="1A1A1A"/>
                <w:sz w:val="18"/>
                <w:szCs w:val="18"/>
              </w:rPr>
              <w:t xml:space="preserve"> (Proposed)</w:t>
            </w:r>
          </w:p>
        </w:tc>
        <w:tc>
          <w:tcPr>
            <w:tcW w:w="1216" w:type="dxa"/>
          </w:tcPr>
          <w:p w14:paraId="3B8F3048" w14:textId="4748053E" w:rsidR="007401D2" w:rsidRDefault="007401D2" w:rsidP="007401D2">
            <w:pPr>
              <w:spacing w:before="80" w:after="80" w:line="276" w:lineRule="auto"/>
              <w:ind w:left="0" w:firstLine="0"/>
              <w:rPr>
                <w:szCs w:val="20"/>
              </w:rPr>
            </w:pPr>
            <w:r>
              <w:rPr>
                <w:color w:val="1A1A1A"/>
                <w:sz w:val="18"/>
                <w:szCs w:val="18"/>
              </w:rPr>
              <w:t>LLM (Llama2/Mistral)</w:t>
            </w:r>
          </w:p>
        </w:tc>
        <w:tc>
          <w:tcPr>
            <w:tcW w:w="972" w:type="dxa"/>
          </w:tcPr>
          <w:p w14:paraId="7F3C10EB" w14:textId="40D52EC7" w:rsidR="007401D2" w:rsidRDefault="007401D2" w:rsidP="007401D2">
            <w:pPr>
              <w:spacing w:before="80" w:after="80" w:line="276" w:lineRule="auto"/>
              <w:ind w:left="0" w:firstLine="0"/>
              <w:rPr>
                <w:szCs w:val="20"/>
              </w:rPr>
            </w:pPr>
            <w:r>
              <w:rPr>
                <w:color w:val="1A1A1A"/>
                <w:sz w:val="18"/>
                <w:szCs w:val="18"/>
              </w:rPr>
              <w:t>NLP activity parsing; personalized AI recommendations; full-stack; interactive dashboards</w:t>
            </w:r>
          </w:p>
        </w:tc>
        <w:tc>
          <w:tcPr>
            <w:tcW w:w="643" w:type="dxa"/>
          </w:tcPr>
          <w:p w14:paraId="3E62149D" w14:textId="4D705E16" w:rsidR="007401D2" w:rsidRDefault="007401D2" w:rsidP="007401D2">
            <w:pPr>
              <w:spacing w:before="80" w:after="80" w:line="276" w:lineRule="auto"/>
              <w:ind w:left="0" w:firstLine="0"/>
              <w:rPr>
                <w:szCs w:val="20"/>
              </w:rPr>
            </w:pPr>
            <w:r>
              <w:rPr>
                <w:color w:val="1A1A1A"/>
                <w:sz w:val="18"/>
                <w:szCs w:val="18"/>
              </w:rPr>
              <w:t>LLM estimate variability; local compute requirement</w:t>
            </w:r>
          </w:p>
        </w:tc>
        <w:tc>
          <w:tcPr>
            <w:tcW w:w="743" w:type="dxa"/>
          </w:tcPr>
          <w:p w14:paraId="53BD8DA5" w14:textId="6AD64B01" w:rsidR="007401D2" w:rsidRDefault="007401D2" w:rsidP="007401D2">
            <w:pPr>
              <w:spacing w:before="80" w:after="80" w:line="276" w:lineRule="auto"/>
              <w:ind w:left="0" w:firstLine="0"/>
              <w:rPr>
                <w:szCs w:val="20"/>
              </w:rPr>
            </w:pPr>
            <w:r>
              <w:rPr>
                <w:color w:val="1A1A1A"/>
                <w:sz w:val="18"/>
                <w:szCs w:val="18"/>
              </w:rPr>
              <w:t>Complete integration of LLM with emission tracking, scoring, and personalized recommendation</w:t>
            </w:r>
          </w:p>
        </w:tc>
      </w:tr>
    </w:tbl>
    <w:p w14:paraId="2BAA6C4C" w14:textId="77777777" w:rsidR="00500CE4" w:rsidRDefault="00500CE4" w:rsidP="000967F0">
      <w:pPr>
        <w:spacing w:before="80" w:after="80" w:line="276" w:lineRule="auto"/>
        <w:rPr>
          <w:szCs w:val="20"/>
        </w:rPr>
      </w:pPr>
    </w:p>
    <w:p w14:paraId="6897CEE5" w14:textId="77777777" w:rsidR="00F62F77" w:rsidRDefault="00F62F77" w:rsidP="00F62F77">
      <w:pPr>
        <w:pStyle w:val="Heading1"/>
      </w:pPr>
      <w:bookmarkStart w:id="14" w:name="_Toc232441481"/>
      <w:r>
        <w:rPr>
          <w:rFonts w:ascii="Arial" w:eastAsia="Arial" w:hAnsi="Arial" w:cs="Arial"/>
          <w:b/>
          <w:bCs/>
          <w:color w:val="2E4057"/>
          <w:sz w:val="24"/>
          <w:szCs w:val="24"/>
        </w:rPr>
        <w:t>3. PROBLEM STATEMENT</w:t>
      </w:r>
      <w:bookmarkEnd w:id="14"/>
    </w:p>
    <w:p w14:paraId="22E9047B" w14:textId="77777777" w:rsidR="00F62F77" w:rsidRDefault="00F62F77" w:rsidP="00F62F77">
      <w:pPr>
        <w:spacing w:before="80" w:after="80" w:line="276" w:lineRule="auto"/>
      </w:pPr>
      <w:r>
        <w:rPr>
          <w:szCs w:val="20"/>
        </w:rPr>
        <w:t xml:space="preserve">The growing urgency of the global climate crisis demands scalable mechanisms for individual carbon accountability. Despite the proliferation of carbon tracking tools, the following fundamental problems persist in the current technological landscape, each representing a dimension of the problem that </w:t>
      </w:r>
      <w:proofErr w:type="spellStart"/>
      <w:r>
        <w:rPr>
          <w:szCs w:val="20"/>
        </w:rPr>
        <w:t>CarbonLens</w:t>
      </w:r>
      <w:proofErr w:type="spellEnd"/>
      <w:r>
        <w:rPr>
          <w:szCs w:val="20"/>
        </w:rPr>
        <w:t xml:space="preserve"> is designed to resolve:</w:t>
      </w:r>
    </w:p>
    <w:p w14:paraId="605D9BA1" w14:textId="77777777" w:rsidR="00F62F77" w:rsidRDefault="00F62F77" w:rsidP="00F62F77">
      <w:pPr>
        <w:spacing w:before="60" w:after="60"/>
      </w:pPr>
    </w:p>
    <w:p w14:paraId="02284B21" w14:textId="77777777" w:rsidR="00F62F77" w:rsidRDefault="00F62F77" w:rsidP="00F62F77">
      <w:pPr>
        <w:pStyle w:val="Heading2"/>
      </w:pPr>
      <w:bookmarkStart w:id="15" w:name="_Toc232441482"/>
      <w:r>
        <w:rPr>
          <w:rFonts w:ascii="Arial" w:eastAsia="Arial" w:hAnsi="Arial" w:cs="Arial"/>
          <w:b/>
          <w:bCs/>
          <w:color w:val="2E4057"/>
          <w:sz w:val="22"/>
          <w:szCs w:val="22"/>
        </w:rPr>
        <w:t>3.1 Lack of Awareness of Personal Emission Contributions</w:t>
      </w:r>
      <w:bookmarkEnd w:id="15"/>
    </w:p>
    <w:p w14:paraId="5ED6EA15" w14:textId="77777777" w:rsidR="00F62F77" w:rsidRDefault="00F62F77" w:rsidP="00F62F77">
      <w:pPr>
        <w:spacing w:before="80" w:after="80" w:line="276" w:lineRule="auto"/>
      </w:pPr>
      <w:r>
        <w:rPr>
          <w:szCs w:val="20"/>
        </w:rPr>
        <w:t xml:space="preserve">Empirical evidence consistently demonstrates that individuals substantially underestimate their personal carbon footprints, particularly in high-emission activity domains such as aviation, meat consumption, and private vehicle use [3]. The absence of accessible, real-time feedback mechanisms means that the carbon implications of routine decisions remain opaque to most users. This awareness deficit impedes voluntary </w:t>
      </w:r>
      <w:proofErr w:type="spellStart"/>
      <w:r>
        <w:rPr>
          <w:szCs w:val="20"/>
        </w:rPr>
        <w:t>behavioral</w:t>
      </w:r>
      <w:proofErr w:type="spellEnd"/>
      <w:r>
        <w:rPr>
          <w:szCs w:val="20"/>
        </w:rPr>
        <w:t xml:space="preserve"> adaptation and undermines the effectiveness of demand-side emissions reduction strategies.</w:t>
      </w:r>
    </w:p>
    <w:p w14:paraId="75DF1134" w14:textId="77777777" w:rsidR="00F62F77" w:rsidRDefault="00F62F77" w:rsidP="00F62F77">
      <w:pPr>
        <w:spacing w:before="60" w:after="60"/>
      </w:pPr>
    </w:p>
    <w:p w14:paraId="09A3E61D" w14:textId="77777777" w:rsidR="00F62F77" w:rsidRDefault="00F62F77" w:rsidP="00F62F77">
      <w:pPr>
        <w:pStyle w:val="Heading2"/>
      </w:pPr>
      <w:bookmarkStart w:id="16" w:name="_Toc232441483"/>
      <w:r>
        <w:rPr>
          <w:rFonts w:ascii="Arial" w:eastAsia="Arial" w:hAnsi="Arial" w:cs="Arial"/>
          <w:b/>
          <w:bCs/>
          <w:color w:val="2E4057"/>
          <w:sz w:val="22"/>
          <w:szCs w:val="22"/>
        </w:rPr>
        <w:t>3.2 Complexity and Inaccessibility of Manual Emission Calculation</w:t>
      </w:r>
      <w:bookmarkEnd w:id="16"/>
    </w:p>
    <w:p w14:paraId="6FBFA180" w14:textId="77777777" w:rsidR="00F62F77" w:rsidRDefault="00F62F77" w:rsidP="00F62F77">
      <w:pPr>
        <w:spacing w:before="80" w:after="80" w:line="276" w:lineRule="auto"/>
      </w:pPr>
      <w:r>
        <w:rPr>
          <w:szCs w:val="20"/>
        </w:rPr>
        <w:t>Accurate carbon footprint calculation requires access to activity-specific emission factors (e.g., kg CO₂ per passenger-</w:t>
      </w:r>
      <w:proofErr w:type="spellStart"/>
      <w:r>
        <w:rPr>
          <w:szCs w:val="20"/>
        </w:rPr>
        <w:t>kilometer</w:t>
      </w:r>
      <w:proofErr w:type="spellEnd"/>
      <w:r>
        <w:rPr>
          <w:szCs w:val="20"/>
        </w:rPr>
        <w:t xml:space="preserve"> for different transportation modes, kg </w:t>
      </w:r>
      <w:proofErr w:type="spellStart"/>
      <w:r>
        <w:rPr>
          <w:szCs w:val="20"/>
        </w:rPr>
        <w:t>CO₂e</w:t>
      </w:r>
      <w:proofErr w:type="spellEnd"/>
      <w:r>
        <w:rPr>
          <w:szCs w:val="20"/>
        </w:rPr>
        <w:t xml:space="preserve"> per kilogram of food commodity), knowledge of regional energy grid carbon intensity, and the ability to aggregate multiple emission streams across diverse activity categories. These requirements impose an insurmountable cognitive burden on non-specialist users, rendering existing manual calculation tools practically unusable for routine, spontaneous activity logging. A system capable of abstracting this complexity behind a natural language interface is therefore essential.</w:t>
      </w:r>
    </w:p>
    <w:p w14:paraId="25A3A9D5" w14:textId="77777777" w:rsidR="00F62F77" w:rsidRDefault="00F62F77" w:rsidP="00F62F77">
      <w:pPr>
        <w:spacing w:before="60" w:after="60"/>
      </w:pPr>
    </w:p>
    <w:p w14:paraId="12B70D73" w14:textId="77777777" w:rsidR="00F62F77" w:rsidRDefault="00F62F77" w:rsidP="00F62F77">
      <w:pPr>
        <w:pStyle w:val="Heading2"/>
      </w:pPr>
      <w:bookmarkStart w:id="17" w:name="_Toc232441484"/>
      <w:r>
        <w:rPr>
          <w:rFonts w:ascii="Arial" w:eastAsia="Arial" w:hAnsi="Arial" w:cs="Arial"/>
          <w:b/>
          <w:bCs/>
          <w:color w:val="2E4057"/>
          <w:sz w:val="22"/>
          <w:szCs w:val="22"/>
        </w:rPr>
        <w:t>3.3 Absence of Intelligent, Personalized Recommendation Systems</w:t>
      </w:r>
      <w:bookmarkEnd w:id="17"/>
    </w:p>
    <w:p w14:paraId="138BA9AE" w14:textId="77777777" w:rsidR="00F62F77" w:rsidRDefault="00F62F77" w:rsidP="00F62F77">
      <w:pPr>
        <w:spacing w:before="80" w:after="80" w:line="276" w:lineRule="auto"/>
      </w:pPr>
      <w:r>
        <w:rPr>
          <w:szCs w:val="20"/>
        </w:rPr>
        <w:t xml:space="preserve">Current carbon tracking tools either omit recommendation functionality entirely or provide generic, one-size-fits-all suggestions (e.g., 'use public transport,' 'reduce meat consumption') that fail to account for an individual user's specific emission profile, geographic constraints, socioeconomic context, or </w:t>
      </w:r>
      <w:proofErr w:type="spellStart"/>
      <w:r>
        <w:rPr>
          <w:szCs w:val="20"/>
        </w:rPr>
        <w:t>behavioral</w:t>
      </w:r>
      <w:proofErr w:type="spellEnd"/>
      <w:r>
        <w:rPr>
          <w:szCs w:val="20"/>
        </w:rPr>
        <w:t xml:space="preserve"> history. Research in behavior change theory demonstrates that personalized, specific, and achievable recommendations are substantially more effective at motivating sustained behavior change than generic advice [13]. An AI-powered system capable of synthesizing a user's complete activity history into contextually relevant, actionable recommendations represents a significant advancement over the current state of the art.</w:t>
      </w:r>
    </w:p>
    <w:p w14:paraId="6FF934D3" w14:textId="77777777" w:rsidR="00F62F77" w:rsidRDefault="00F62F77" w:rsidP="00F62F77">
      <w:pPr>
        <w:spacing w:before="60" w:after="60"/>
      </w:pPr>
    </w:p>
    <w:p w14:paraId="466C80D5" w14:textId="77777777" w:rsidR="00F62F77" w:rsidRDefault="00F62F77" w:rsidP="00F62F77">
      <w:pPr>
        <w:pStyle w:val="Heading2"/>
      </w:pPr>
      <w:bookmarkStart w:id="18" w:name="_Toc232441485"/>
      <w:r>
        <w:rPr>
          <w:rFonts w:ascii="Arial" w:eastAsia="Arial" w:hAnsi="Arial" w:cs="Arial"/>
          <w:b/>
          <w:bCs/>
          <w:color w:val="2E4057"/>
          <w:sz w:val="22"/>
          <w:szCs w:val="22"/>
        </w:rPr>
        <w:t>3.4 Inadequate Analytical Infrastructure for Temporal Emission Tracking</w:t>
      </w:r>
      <w:bookmarkEnd w:id="18"/>
    </w:p>
    <w:p w14:paraId="075A5E55" w14:textId="57F62261" w:rsidR="00F62F77" w:rsidRDefault="00F62F77" w:rsidP="00F62F77">
      <w:pPr>
        <w:spacing w:before="80" w:line="276" w:lineRule="auto"/>
      </w:pPr>
      <w:r>
        <w:rPr>
          <w:szCs w:val="20"/>
        </w:rPr>
        <w:t xml:space="preserve">Meaningful carbon management requires longitudinal emission monitoring with trend analysis, goal-setting </w:t>
      </w:r>
      <w:r>
        <w:rPr>
          <w:szCs w:val="20"/>
        </w:rPr>
        <w:t>support, and comparative benchmarking. Existing tools predominantly provide point-in-time estimates rather than persistent, time-series tracking. The integration of interactive visualizations, aggregated reporting at multiple temporal granularities, and AI-generated narrative interpretations of emission trends constitutes an unmet need in the current tool ecosystem.</w:t>
      </w:r>
      <w:r w:rsidRPr="00F62F77">
        <w:rPr>
          <w:szCs w:val="20"/>
        </w:rPr>
        <w:t xml:space="preserve"> </w:t>
      </w:r>
      <w:r>
        <w:rPr>
          <w:szCs w:val="20"/>
        </w:rPr>
        <w:t xml:space="preserve">Formally, the problem addressed by </w:t>
      </w:r>
      <w:proofErr w:type="spellStart"/>
      <w:r>
        <w:rPr>
          <w:szCs w:val="20"/>
        </w:rPr>
        <w:t>CarbonLens</w:t>
      </w:r>
      <w:proofErr w:type="spellEnd"/>
      <w:r>
        <w:rPr>
          <w:szCs w:val="20"/>
        </w:rPr>
        <w:t xml:space="preserve"> can be stated as: Given a user-generated natural language description of daily activities D = {d₁, d₂, ..., dₙ}, design an AI system that extracts structured activity metadata A = {a₁, a₂, ..., aₙ}, maps each activity to a corresponding emission value E = {e₁, e₂, ..., eₙ} using verified emission factors F, computes a composite</w:t>
      </w:r>
      <w:r w:rsidRPr="00F62F77">
        <w:rPr>
          <w:szCs w:val="20"/>
        </w:rPr>
        <w:t xml:space="preserve"> </w:t>
      </w:r>
      <w:r>
        <w:rPr>
          <w:szCs w:val="20"/>
        </w:rPr>
        <w:t xml:space="preserve">carbon score S = </w:t>
      </w:r>
      <w:proofErr w:type="spellStart"/>
      <w:r>
        <w:rPr>
          <w:szCs w:val="20"/>
        </w:rPr>
        <w:t>Σe</w:t>
      </w:r>
      <w:proofErr w:type="spellEnd"/>
      <w:r>
        <w:rPr>
          <w:szCs w:val="20"/>
        </w:rPr>
        <w:t xml:space="preserve">ᵢ, maintains a persistent time-series record of scores, and generates a ranked set of personalized, contextually relevant sustainability recommendations R, maximizing user engagement and </w:t>
      </w:r>
      <w:proofErr w:type="spellStart"/>
      <w:r>
        <w:rPr>
          <w:szCs w:val="20"/>
        </w:rPr>
        <w:t>behavioral</w:t>
      </w:r>
      <w:proofErr w:type="spellEnd"/>
      <w:r>
        <w:rPr>
          <w:szCs w:val="20"/>
        </w:rPr>
        <w:t xml:space="preserve"> efficacy.</w:t>
      </w:r>
    </w:p>
    <w:p w14:paraId="3B547B76" w14:textId="1D64F01E" w:rsidR="00F62F77" w:rsidRDefault="00F62F77" w:rsidP="00F62F77">
      <w:pPr>
        <w:ind w:left="0" w:firstLine="0"/>
      </w:pPr>
      <w:bookmarkStart w:id="19" w:name="_Toc232441486"/>
      <w:r>
        <w:rPr>
          <w:rFonts w:ascii="Arial" w:eastAsia="Arial" w:hAnsi="Arial" w:cs="Arial"/>
          <w:b/>
          <w:bCs/>
          <w:color w:val="2E4057"/>
          <w:sz w:val="24"/>
        </w:rPr>
        <w:t>4. RESEARCH OBJECTIVES</w:t>
      </w:r>
      <w:bookmarkEnd w:id="19"/>
    </w:p>
    <w:p w14:paraId="33114173" w14:textId="77777777" w:rsidR="00F62F77" w:rsidRDefault="00F62F77" w:rsidP="00F62F77">
      <w:pPr>
        <w:spacing w:before="80" w:after="80" w:line="276" w:lineRule="auto"/>
      </w:pPr>
      <w:r>
        <w:rPr>
          <w:szCs w:val="20"/>
        </w:rPr>
        <w:t xml:space="preserve">Building upon the problem formulation presented in Section 3, this research defines the following eight primary objectives that govern the design, implementation, and evaluation of </w:t>
      </w:r>
      <w:proofErr w:type="spellStart"/>
      <w:r>
        <w:rPr>
          <w:szCs w:val="20"/>
        </w:rPr>
        <w:t>CarbonLens</w:t>
      </w:r>
      <w:proofErr w:type="spellEnd"/>
      <w:r>
        <w:rPr>
          <w:szCs w:val="20"/>
        </w:rPr>
        <w:t>:</w:t>
      </w:r>
    </w:p>
    <w:p w14:paraId="38089B9D" w14:textId="77777777" w:rsidR="00F62F77" w:rsidRDefault="00F62F77" w:rsidP="00F62F77">
      <w:pPr>
        <w:spacing w:before="60" w:after="60"/>
      </w:pPr>
    </w:p>
    <w:p w14:paraId="3D46B0C6" w14:textId="77777777" w:rsidR="00F62F77" w:rsidRDefault="00F62F77" w:rsidP="00F62F77">
      <w:pPr>
        <w:pStyle w:val="ListParagraph"/>
        <w:numPr>
          <w:ilvl w:val="0"/>
          <w:numId w:val="3"/>
        </w:numPr>
        <w:spacing w:before="60" w:after="60" w:line="240" w:lineRule="auto"/>
        <w:contextualSpacing w:val="0"/>
        <w:jc w:val="left"/>
      </w:pPr>
      <w:r>
        <w:rPr>
          <w:szCs w:val="20"/>
        </w:rPr>
        <w:t xml:space="preserve">Design and deploy a secure, scalable, multi-user full-stack web application for personal carbon footprint monitoring, incorporating JWT-based authentication, </w:t>
      </w:r>
      <w:proofErr w:type="spellStart"/>
      <w:r>
        <w:rPr>
          <w:szCs w:val="20"/>
        </w:rPr>
        <w:t>bcrypt</w:t>
      </w:r>
      <w:proofErr w:type="spellEnd"/>
      <w:r>
        <w:rPr>
          <w:szCs w:val="20"/>
        </w:rPr>
        <w:t xml:space="preserve"> password management, and MongoDB-backed persistent data storage.</w:t>
      </w:r>
    </w:p>
    <w:p w14:paraId="5BF8747E" w14:textId="77777777" w:rsidR="00F62F77" w:rsidRDefault="00F62F77" w:rsidP="00F62F77">
      <w:pPr>
        <w:pStyle w:val="ListParagraph"/>
        <w:numPr>
          <w:ilvl w:val="0"/>
          <w:numId w:val="3"/>
        </w:numPr>
        <w:spacing w:before="60" w:after="60" w:line="240" w:lineRule="auto"/>
        <w:contextualSpacing w:val="0"/>
        <w:jc w:val="left"/>
      </w:pPr>
      <w:r>
        <w:rPr>
          <w:szCs w:val="20"/>
        </w:rPr>
        <w:t xml:space="preserve">Develop and validate an LLM-based activity parsing pipeline using </w:t>
      </w:r>
      <w:proofErr w:type="spellStart"/>
      <w:r>
        <w:rPr>
          <w:szCs w:val="20"/>
        </w:rPr>
        <w:t>Ollama</w:t>
      </w:r>
      <w:proofErr w:type="spellEnd"/>
      <w:r>
        <w:rPr>
          <w:szCs w:val="20"/>
        </w:rPr>
        <w:t>-hosted Llama2/Mistral models capable of extracting structured activity type, transportation mode, distance, energy consumption, dietary category, and quantity metadata from unstructured natural language inputs.</w:t>
      </w:r>
    </w:p>
    <w:p w14:paraId="6599FA6F" w14:textId="77777777" w:rsidR="00F62F77" w:rsidRDefault="00F62F77" w:rsidP="00F62F77">
      <w:pPr>
        <w:pStyle w:val="ListParagraph"/>
        <w:numPr>
          <w:ilvl w:val="0"/>
          <w:numId w:val="3"/>
        </w:numPr>
        <w:spacing w:before="60" w:after="60" w:line="240" w:lineRule="auto"/>
        <w:contextualSpacing w:val="0"/>
        <w:jc w:val="left"/>
      </w:pPr>
      <w:r>
        <w:rPr>
          <w:szCs w:val="20"/>
        </w:rPr>
        <w:t>Implement a carbon emission computation engine that integrates AI-extracted activity data with a curated, domain-validated emission factor database aligned with IPCC, DEFRA, and EPA standards.</w:t>
      </w:r>
    </w:p>
    <w:p w14:paraId="5F296D68" w14:textId="77777777" w:rsidR="00F62F77" w:rsidRDefault="00F62F77" w:rsidP="00F62F77">
      <w:pPr>
        <w:pStyle w:val="ListParagraph"/>
        <w:numPr>
          <w:ilvl w:val="0"/>
          <w:numId w:val="3"/>
        </w:numPr>
        <w:spacing w:before="60" w:after="60" w:line="240" w:lineRule="auto"/>
        <w:contextualSpacing w:val="0"/>
        <w:jc w:val="left"/>
      </w:pPr>
      <w:r>
        <w:rPr>
          <w:szCs w:val="20"/>
        </w:rPr>
        <w:t xml:space="preserve">Construct a personalized AI recommendation generation module that synthesizes a user's historical carbon profile to produce ranked, context-specific </w:t>
      </w:r>
      <w:proofErr w:type="spellStart"/>
      <w:r>
        <w:rPr>
          <w:szCs w:val="20"/>
        </w:rPr>
        <w:t>behavioral</w:t>
      </w:r>
      <w:proofErr w:type="spellEnd"/>
      <w:r>
        <w:rPr>
          <w:szCs w:val="20"/>
        </w:rPr>
        <w:t xml:space="preserve"> change suggestions with estimated emission reduction potential.</w:t>
      </w:r>
    </w:p>
    <w:p w14:paraId="53571D00" w14:textId="77777777" w:rsidR="00F62F77" w:rsidRDefault="00F62F77" w:rsidP="00F62F77">
      <w:pPr>
        <w:pStyle w:val="ListParagraph"/>
        <w:numPr>
          <w:ilvl w:val="0"/>
          <w:numId w:val="3"/>
        </w:numPr>
        <w:spacing w:before="60" w:after="60" w:line="240" w:lineRule="auto"/>
        <w:contextualSpacing w:val="0"/>
        <w:jc w:val="left"/>
      </w:pPr>
      <w:r>
        <w:rPr>
          <w:szCs w:val="20"/>
        </w:rPr>
        <w:t>Develop interactive, responsive analytical dashboards featuring temporal trend charts, categorical emission breakdowns, and weekly/monthly aggregated reports using Recharts visualization components.</w:t>
      </w:r>
    </w:p>
    <w:p w14:paraId="50006A42" w14:textId="77777777" w:rsidR="00F62F77" w:rsidRDefault="00F62F77" w:rsidP="00F62F77">
      <w:pPr>
        <w:pStyle w:val="ListParagraph"/>
        <w:numPr>
          <w:ilvl w:val="0"/>
          <w:numId w:val="3"/>
        </w:numPr>
        <w:spacing w:before="60" w:after="60" w:line="240" w:lineRule="auto"/>
        <w:contextualSpacing w:val="0"/>
        <w:jc w:val="left"/>
      </w:pPr>
      <w:r>
        <w:rPr>
          <w:szCs w:val="20"/>
        </w:rPr>
        <w:t xml:space="preserve">Engineer a robust RESTful API layer with Express.js that mediates between the React frontend, MongoDB database, and </w:t>
      </w:r>
      <w:proofErr w:type="spellStart"/>
      <w:r>
        <w:rPr>
          <w:szCs w:val="20"/>
        </w:rPr>
        <w:t>Ollama</w:t>
      </w:r>
      <w:proofErr w:type="spellEnd"/>
      <w:r>
        <w:rPr>
          <w:szCs w:val="20"/>
        </w:rPr>
        <w:t xml:space="preserve"> AI </w:t>
      </w:r>
      <w:r>
        <w:rPr>
          <w:szCs w:val="20"/>
        </w:rPr>
        <w:lastRenderedPageBreak/>
        <w:t>backend, ensuring data integrity, error resilience, and sub-500ms non-AI response latency.</w:t>
      </w:r>
    </w:p>
    <w:p w14:paraId="3AF936FA" w14:textId="77777777" w:rsidR="00F62F77" w:rsidRDefault="00F62F77" w:rsidP="00F62F77">
      <w:pPr>
        <w:pStyle w:val="ListParagraph"/>
        <w:numPr>
          <w:ilvl w:val="0"/>
          <w:numId w:val="3"/>
        </w:numPr>
        <w:spacing w:before="60" w:after="60" w:line="240" w:lineRule="auto"/>
        <w:contextualSpacing w:val="0"/>
        <w:jc w:val="left"/>
      </w:pPr>
      <w:r>
        <w:rPr>
          <w:szCs w:val="20"/>
        </w:rPr>
        <w:t>Evaluate system performance through comprehensive metrics encompassing AI extraction accuracy, system latency, user satisfaction scores, and carbon tracking effectiveness compared against baseline manual estimation.</w:t>
      </w:r>
    </w:p>
    <w:p w14:paraId="05BED5DD" w14:textId="08D6E028" w:rsidR="00F62F77" w:rsidRPr="00F62F77" w:rsidRDefault="00F62F77" w:rsidP="00F62F77">
      <w:pPr>
        <w:pStyle w:val="ListParagraph"/>
        <w:numPr>
          <w:ilvl w:val="0"/>
          <w:numId w:val="3"/>
        </w:numPr>
        <w:spacing w:before="60" w:after="60" w:line="240" w:lineRule="auto"/>
        <w:contextualSpacing w:val="0"/>
        <w:jc w:val="left"/>
      </w:pPr>
      <w:r>
        <w:rPr>
          <w:szCs w:val="20"/>
        </w:rPr>
        <w:t>Establish a replicable architectural pattern for LLM integration in sustainability web applications that can serve as a foundation for future research in AI-driven environmental monitoring systems</w:t>
      </w:r>
      <w:r w:rsidRPr="00F62F77">
        <w:rPr>
          <w:szCs w:val="20"/>
        </w:rPr>
        <w:t>.</w:t>
      </w:r>
    </w:p>
    <w:p w14:paraId="6C707BDA" w14:textId="77777777" w:rsidR="00F62F77" w:rsidRDefault="00F62F77" w:rsidP="00F62F77">
      <w:pPr>
        <w:pStyle w:val="ListParagraph"/>
        <w:spacing w:before="60" w:after="60" w:line="240" w:lineRule="auto"/>
        <w:ind w:firstLine="0"/>
        <w:contextualSpacing w:val="0"/>
        <w:jc w:val="left"/>
      </w:pPr>
    </w:p>
    <w:p w14:paraId="7AFB39C8" w14:textId="4E3C8DCA" w:rsidR="00F62F77" w:rsidRDefault="00F62F77" w:rsidP="00F62F77">
      <w:pPr>
        <w:ind w:left="0" w:firstLine="0"/>
      </w:pPr>
      <w:bookmarkStart w:id="20" w:name="_Toc232441487"/>
      <w:r>
        <w:t xml:space="preserve">         </w:t>
      </w:r>
      <w:r>
        <w:rPr>
          <w:rFonts w:ascii="Arial" w:eastAsia="Arial" w:hAnsi="Arial" w:cs="Arial"/>
          <w:b/>
          <w:bCs/>
          <w:color w:val="2E4057"/>
          <w:sz w:val="24"/>
        </w:rPr>
        <w:t>5. PROPOSED METHODOLOGY</w:t>
      </w:r>
      <w:bookmarkEnd w:id="20"/>
    </w:p>
    <w:p w14:paraId="12E4AE89" w14:textId="77777777" w:rsidR="00F62F77" w:rsidRDefault="00F62F77" w:rsidP="00F62F77">
      <w:pPr>
        <w:spacing w:before="80" w:after="80" w:line="276" w:lineRule="auto"/>
      </w:pPr>
      <w:r>
        <w:rPr>
          <w:szCs w:val="20"/>
        </w:rPr>
        <w:t xml:space="preserve">The methodology of </w:t>
      </w:r>
      <w:proofErr w:type="spellStart"/>
      <w:r>
        <w:rPr>
          <w:szCs w:val="20"/>
        </w:rPr>
        <w:t>CarbonLens</w:t>
      </w:r>
      <w:proofErr w:type="spellEnd"/>
      <w:r>
        <w:rPr>
          <w:szCs w:val="20"/>
        </w:rPr>
        <w:t xml:space="preserve"> is organized as a five-stage pipeline, encompassing user interaction, activity collection, AI analysis, carbon computation, and recommendation delivery. Each stage is described in detail below.</w:t>
      </w:r>
    </w:p>
    <w:p w14:paraId="6A08816D" w14:textId="77777777" w:rsidR="00F62F77" w:rsidRDefault="00F62F77" w:rsidP="00F62F77">
      <w:pPr>
        <w:spacing w:before="60" w:after="60"/>
      </w:pPr>
    </w:p>
    <w:p w14:paraId="635A339F" w14:textId="77777777" w:rsidR="00F62F77" w:rsidRDefault="00F62F77" w:rsidP="00F62F77">
      <w:pPr>
        <w:pStyle w:val="Heading2"/>
      </w:pPr>
      <w:bookmarkStart w:id="21" w:name="_Toc232441488"/>
      <w:r>
        <w:rPr>
          <w:rFonts w:ascii="Arial" w:eastAsia="Arial" w:hAnsi="Arial" w:cs="Arial"/>
          <w:b/>
          <w:bCs/>
          <w:color w:val="2E4057"/>
          <w:sz w:val="22"/>
          <w:szCs w:val="22"/>
        </w:rPr>
        <w:t>5.1 User Interaction Workflow</w:t>
      </w:r>
      <w:bookmarkEnd w:id="21"/>
    </w:p>
    <w:p w14:paraId="142155A2" w14:textId="58597E77" w:rsidR="00F62F77" w:rsidRDefault="00F62F77" w:rsidP="00F62F77">
      <w:pPr>
        <w:spacing w:before="80" w:after="80" w:line="276" w:lineRule="auto"/>
      </w:pPr>
      <w:r>
        <w:rPr>
          <w:szCs w:val="20"/>
        </w:rPr>
        <w:t xml:space="preserve">Upon authentication, users are presented with a minimalist activity logging interface. The interface accepts free-form textual input describing any recent activity, without requiring selection from predefined categories. A user might input descriptions such as 'I drove my car about 15 </w:t>
      </w:r>
      <w:proofErr w:type="spellStart"/>
      <w:r>
        <w:rPr>
          <w:szCs w:val="20"/>
        </w:rPr>
        <w:t>kilometers</w:t>
      </w:r>
      <w:proofErr w:type="spellEnd"/>
      <w:r>
        <w:rPr>
          <w:szCs w:val="20"/>
        </w:rPr>
        <w:t xml:space="preserve"> to work this morning' or 'Had a beef burger and fries for lunch, then took a 30-minute flight from Mumbai to Delhi.' This unconstrained input modality significantly reduces the cognitive friction associated with activity logging, increasing both logging frequency and data completeness.</w:t>
      </w:r>
    </w:p>
    <w:p w14:paraId="5DDED3D5" w14:textId="77777777" w:rsidR="00F62F77" w:rsidRDefault="00F62F77" w:rsidP="00F62F77">
      <w:pPr>
        <w:pStyle w:val="Heading2"/>
      </w:pPr>
      <w:bookmarkStart w:id="22" w:name="_Toc232441489"/>
      <w:r>
        <w:rPr>
          <w:rFonts w:ascii="Arial" w:eastAsia="Arial" w:hAnsi="Arial" w:cs="Arial"/>
          <w:b/>
          <w:bCs/>
          <w:color w:val="2E4057"/>
          <w:sz w:val="22"/>
          <w:szCs w:val="22"/>
        </w:rPr>
        <w:t>5.2 AI Activity Analysis Mechanism</w:t>
      </w:r>
      <w:bookmarkEnd w:id="22"/>
    </w:p>
    <w:p w14:paraId="4B300960" w14:textId="45A04F38" w:rsidR="00F62F77" w:rsidRDefault="00F62F77" w:rsidP="00F62F77">
      <w:pPr>
        <w:spacing w:before="80" w:after="80" w:line="276" w:lineRule="auto"/>
      </w:pPr>
      <w:r>
        <w:rPr>
          <w:szCs w:val="20"/>
        </w:rPr>
        <w:t xml:space="preserve">The natural language activity description is transmitted to the AI Analysis Service via the Express.js API layer. The service constructs a structured prompt that instructs the </w:t>
      </w:r>
      <w:proofErr w:type="spellStart"/>
      <w:r>
        <w:rPr>
          <w:szCs w:val="20"/>
        </w:rPr>
        <w:t>Ollama</w:t>
      </w:r>
      <w:proofErr w:type="spellEnd"/>
      <w:r>
        <w:rPr>
          <w:szCs w:val="20"/>
        </w:rPr>
        <w:t xml:space="preserve">-hosted LLM to </w:t>
      </w:r>
      <w:proofErr w:type="spellStart"/>
      <w:r>
        <w:rPr>
          <w:szCs w:val="20"/>
        </w:rPr>
        <w:t>analyze</w:t>
      </w:r>
      <w:proofErr w:type="spellEnd"/>
      <w:r>
        <w:rPr>
          <w:szCs w:val="20"/>
        </w:rPr>
        <w:t xml:space="preserve"> the input and return a machine-</w:t>
      </w:r>
      <w:proofErr w:type="spellStart"/>
      <w:r>
        <w:rPr>
          <w:szCs w:val="20"/>
        </w:rPr>
        <w:t>parseable</w:t>
      </w:r>
      <w:proofErr w:type="spellEnd"/>
      <w:r>
        <w:rPr>
          <w:szCs w:val="20"/>
        </w:rPr>
        <w:t xml:space="preserve"> JSON object containing extracted activity entities. The prompt engineering strategy employs a system-role definition, few-shot examples demonstrating the expected JSON schema, and explicit formatting instructions to constrain model outputs to </w:t>
      </w:r>
      <w:proofErr w:type="spellStart"/>
      <w:r>
        <w:rPr>
          <w:szCs w:val="20"/>
        </w:rPr>
        <w:t>parseable</w:t>
      </w:r>
      <w:proofErr w:type="spellEnd"/>
      <w:r>
        <w:rPr>
          <w:szCs w:val="20"/>
        </w:rPr>
        <w:t xml:space="preserve"> structures.</w:t>
      </w:r>
      <w:r w:rsidRPr="00F62F77">
        <w:rPr>
          <w:szCs w:val="20"/>
        </w:rPr>
        <w:t xml:space="preserve"> </w:t>
      </w:r>
      <w:r>
        <w:rPr>
          <w:szCs w:val="20"/>
        </w:rPr>
        <w:t xml:space="preserve">The LLM processes the prompt using the locally deployed Llama2 or Mistral model and returns a structured response containing fields including: </w:t>
      </w:r>
      <w:proofErr w:type="spellStart"/>
      <w:r>
        <w:rPr>
          <w:szCs w:val="20"/>
        </w:rPr>
        <w:t>activity_type</w:t>
      </w:r>
      <w:proofErr w:type="spellEnd"/>
      <w:r>
        <w:rPr>
          <w:szCs w:val="20"/>
        </w:rPr>
        <w:t xml:space="preserve"> (e.g., 'transportation', 'food', 'energy', 'shopping'), </w:t>
      </w:r>
      <w:proofErr w:type="spellStart"/>
      <w:r>
        <w:rPr>
          <w:szCs w:val="20"/>
        </w:rPr>
        <w:t>sub_category</w:t>
      </w:r>
      <w:proofErr w:type="spellEnd"/>
      <w:r>
        <w:rPr>
          <w:szCs w:val="20"/>
        </w:rPr>
        <w:t xml:space="preserve"> (e.g., 'car', 'beef', 'electricity', 'clothing'), quantity and unit, </w:t>
      </w:r>
      <w:proofErr w:type="spellStart"/>
      <w:r>
        <w:rPr>
          <w:szCs w:val="20"/>
        </w:rPr>
        <w:t>emission_factor</w:t>
      </w:r>
      <w:proofErr w:type="spellEnd"/>
      <w:r>
        <w:rPr>
          <w:szCs w:val="20"/>
        </w:rPr>
        <w:t xml:space="preserve"> (estimated by the model from embedded domain knowledge), </w:t>
      </w:r>
      <w:proofErr w:type="spellStart"/>
      <w:r>
        <w:rPr>
          <w:szCs w:val="20"/>
        </w:rPr>
        <w:t>total_emission</w:t>
      </w:r>
      <w:proofErr w:type="spellEnd"/>
      <w:r>
        <w:rPr>
          <w:szCs w:val="20"/>
        </w:rPr>
        <w:t xml:space="preserve"> in kg </w:t>
      </w:r>
      <w:proofErr w:type="spellStart"/>
      <w:r>
        <w:rPr>
          <w:szCs w:val="20"/>
        </w:rPr>
        <w:t>CO₂e</w:t>
      </w:r>
      <w:proofErr w:type="spellEnd"/>
      <w:r>
        <w:rPr>
          <w:szCs w:val="20"/>
        </w:rPr>
        <w:t xml:space="preserve">, and a </w:t>
      </w:r>
      <w:proofErr w:type="spellStart"/>
      <w:r>
        <w:rPr>
          <w:szCs w:val="20"/>
        </w:rPr>
        <w:t>confidence_score</w:t>
      </w:r>
      <w:proofErr w:type="spellEnd"/>
      <w:r>
        <w:rPr>
          <w:szCs w:val="20"/>
        </w:rPr>
        <w:t xml:space="preserve">. The AI analysis module validates the response against a JSON schema, retries with modified prompts on validation failure, and falls back to a </w:t>
      </w:r>
      <w:r>
        <w:rPr>
          <w:szCs w:val="20"/>
        </w:rPr>
        <w:t>rule-based estimation engine for activities that consistently evade LLM parsing.</w:t>
      </w:r>
    </w:p>
    <w:p w14:paraId="0CE48F21" w14:textId="77777777" w:rsidR="00F62F77" w:rsidRDefault="00F62F77" w:rsidP="00F62F77">
      <w:pPr>
        <w:pStyle w:val="Heading2"/>
      </w:pPr>
      <w:bookmarkStart w:id="23" w:name="_Toc232441490"/>
      <w:r>
        <w:rPr>
          <w:rFonts w:ascii="Arial" w:eastAsia="Arial" w:hAnsi="Arial" w:cs="Arial"/>
          <w:b/>
          <w:bCs/>
          <w:color w:val="2E4057"/>
          <w:sz w:val="22"/>
          <w:szCs w:val="22"/>
        </w:rPr>
        <w:t>5.3 Carbon Estimation Process</w:t>
      </w:r>
      <w:bookmarkEnd w:id="23"/>
    </w:p>
    <w:p w14:paraId="3753A401" w14:textId="77777777" w:rsidR="00F62F77" w:rsidRDefault="00F62F77" w:rsidP="00F62F77">
      <w:pPr>
        <w:spacing w:before="80" w:after="80" w:line="276" w:lineRule="auto"/>
      </w:pPr>
      <w:r>
        <w:rPr>
          <w:szCs w:val="20"/>
        </w:rPr>
        <w:t>Following AI extraction, the Carbon Computation Engine applies a hybrid estimation approach. For activities with high LLM confidence scores (&gt;0.75), the AI-estimated emission factor is used directly. For lower-confidence estimates, the system applies a cross-reference lookup against a curated emission factor database containing values sourced from IPCC AR6 Working Group III, DEFRA conversion factors, and EPA emission factor tables. The composite carbon score for an activity session is computed as the weighted sum of individual activity emissions, with confidence-based weighting that reduces the influence of uncertain estimates.</w:t>
      </w:r>
    </w:p>
    <w:p w14:paraId="1EC78AFD" w14:textId="77777777" w:rsidR="00F62F77" w:rsidRDefault="00F62F77" w:rsidP="00F62F77">
      <w:pPr>
        <w:spacing w:before="60" w:after="60"/>
      </w:pPr>
    </w:p>
    <w:p w14:paraId="682BD078" w14:textId="77777777" w:rsidR="00F62F77" w:rsidRDefault="00F62F77" w:rsidP="00F62F77">
      <w:pPr>
        <w:spacing w:before="80" w:after="80" w:line="276" w:lineRule="auto"/>
      </w:pPr>
      <w:r>
        <w:rPr>
          <w:szCs w:val="20"/>
        </w:rPr>
        <w:t xml:space="preserve">The emission calculation follows the standard GHG Protocol methodology: E = </w:t>
      </w:r>
      <w:proofErr w:type="gramStart"/>
      <w:r>
        <w:rPr>
          <w:szCs w:val="20"/>
        </w:rPr>
        <w:t>Σ(</w:t>
      </w:r>
      <w:proofErr w:type="gramEnd"/>
      <w:r>
        <w:rPr>
          <w:szCs w:val="20"/>
        </w:rPr>
        <w:t xml:space="preserve">Aᵢ × EFᵢ × CF), where E is total emission in kg </w:t>
      </w:r>
      <w:proofErr w:type="spellStart"/>
      <w:r>
        <w:rPr>
          <w:szCs w:val="20"/>
        </w:rPr>
        <w:t>CO₂e</w:t>
      </w:r>
      <w:proofErr w:type="spellEnd"/>
      <w:r>
        <w:rPr>
          <w:szCs w:val="20"/>
        </w:rPr>
        <w:t xml:space="preserve">, Aᵢ is the activity quantity for activity </w:t>
      </w:r>
      <w:proofErr w:type="spellStart"/>
      <w:r>
        <w:rPr>
          <w:szCs w:val="20"/>
        </w:rPr>
        <w:t>i</w:t>
      </w:r>
      <w:proofErr w:type="spellEnd"/>
      <w:r>
        <w:rPr>
          <w:szCs w:val="20"/>
        </w:rPr>
        <w:t>, EFᵢ is the corresponding emission factor, and CF is a characterization factor for non-CO₂ greenhouse gases expressed in CO₂-equivalent terms [23].</w:t>
      </w:r>
    </w:p>
    <w:p w14:paraId="73E96D26" w14:textId="77777777" w:rsidR="00F62F77" w:rsidRDefault="00F62F77" w:rsidP="00F62F77">
      <w:pPr>
        <w:spacing w:before="60" w:after="60"/>
      </w:pPr>
    </w:p>
    <w:p w14:paraId="5D0D37AD" w14:textId="77777777" w:rsidR="00F62F77" w:rsidRDefault="00F62F77" w:rsidP="00F62F77">
      <w:pPr>
        <w:pStyle w:val="Heading2"/>
      </w:pPr>
      <w:bookmarkStart w:id="24" w:name="_Toc232441491"/>
      <w:r>
        <w:rPr>
          <w:rFonts w:ascii="Arial" w:eastAsia="Arial" w:hAnsi="Arial" w:cs="Arial"/>
          <w:b/>
          <w:bCs/>
          <w:color w:val="2E4057"/>
          <w:sz w:val="22"/>
          <w:szCs w:val="22"/>
        </w:rPr>
        <w:t>5.4 Recommendation Generation Process</w:t>
      </w:r>
      <w:bookmarkEnd w:id="24"/>
    </w:p>
    <w:p w14:paraId="5F1DBED6" w14:textId="77777777" w:rsidR="00F62F77" w:rsidRDefault="00F62F77" w:rsidP="00F62F77">
      <w:pPr>
        <w:spacing w:before="80" w:after="80" w:line="276" w:lineRule="auto"/>
      </w:pPr>
      <w:r>
        <w:rPr>
          <w:szCs w:val="20"/>
        </w:rPr>
        <w:t xml:space="preserve">The Recommendation Engine operates as a secondary LLM pipeline triggered upon carbon score computation or on-demand by the user. The engine constructs a context-rich prompt that includes the user's recent activity history (past 7–30 days), their total and categorical emission scores, their geographic context where available, and a set of behavior change principles derived from the COM-B (Capability, Opportunity, Motivation, Behavior) model. The LLM generates a ranked list of three to five specific, actionable recommendations, each accompanied by an estimated emission reduction potential in kg </w:t>
      </w:r>
      <w:proofErr w:type="spellStart"/>
      <w:r>
        <w:rPr>
          <w:szCs w:val="20"/>
        </w:rPr>
        <w:t>CO₂e</w:t>
      </w:r>
      <w:proofErr w:type="spellEnd"/>
      <w:r>
        <w:rPr>
          <w:szCs w:val="20"/>
        </w:rPr>
        <w:t xml:space="preserve"> per week if adopted.</w:t>
      </w:r>
    </w:p>
    <w:p w14:paraId="132F1387" w14:textId="77777777" w:rsidR="00F62F77" w:rsidRDefault="00F62F77" w:rsidP="00F62F77">
      <w:pPr>
        <w:spacing w:before="60" w:after="60"/>
      </w:pPr>
    </w:p>
    <w:p w14:paraId="100CD838" w14:textId="77777777" w:rsidR="00F62F77" w:rsidRDefault="00F62F77" w:rsidP="00F62F77">
      <w:pPr>
        <w:pStyle w:val="Heading2"/>
      </w:pPr>
      <w:bookmarkStart w:id="25" w:name="_Toc232441492"/>
      <w:r>
        <w:rPr>
          <w:rFonts w:ascii="Arial" w:eastAsia="Arial" w:hAnsi="Arial" w:cs="Arial"/>
          <w:b/>
          <w:bCs/>
          <w:color w:val="2E4057"/>
          <w:sz w:val="22"/>
          <w:szCs w:val="22"/>
        </w:rPr>
        <w:t>5.5 Dashboard Analytics</w:t>
      </w:r>
      <w:bookmarkEnd w:id="25"/>
    </w:p>
    <w:p w14:paraId="57CF9C55" w14:textId="77777777" w:rsidR="00F62F77" w:rsidRDefault="00F62F77" w:rsidP="00F62F77">
      <w:pPr>
        <w:spacing w:before="80" w:after="80" w:line="276" w:lineRule="auto"/>
      </w:pPr>
      <w:r>
        <w:rPr>
          <w:szCs w:val="20"/>
        </w:rPr>
        <w:t>All computed carbon scores and activity metadata are persisted to MongoDB and made available through a set of aggregation-optimized API endpoints. The React frontend renders these data through a responsive dashboard featuring: a real-time emissions counter for the current day, a line chart showing daily emission trends over the past 30 days, a donut chart depicting categorical emission breakdown (transportation, food, energy, shopping), bar charts for weekly and monthly comparisons, and a personalized insights panel displaying AI-generated narrative summaries of emission trends.</w:t>
      </w:r>
    </w:p>
    <w:p w14:paraId="6CC51F8D" w14:textId="77777777" w:rsidR="00BF4258" w:rsidRDefault="00BF4258" w:rsidP="00BF4258">
      <w:pPr>
        <w:pStyle w:val="Heading2"/>
      </w:pPr>
      <w:bookmarkStart w:id="26" w:name="_Toc232441514"/>
      <w:r>
        <w:rPr>
          <w:rFonts w:ascii="Arial" w:eastAsia="Arial" w:hAnsi="Arial" w:cs="Arial"/>
          <w:b/>
          <w:bCs/>
          <w:color w:val="2E4057"/>
          <w:sz w:val="22"/>
          <w:szCs w:val="22"/>
        </w:rPr>
        <w:lastRenderedPageBreak/>
        <w:t>11.1 AI Activity Extraction Accuracy</w:t>
      </w:r>
      <w:bookmarkEnd w:id="26"/>
    </w:p>
    <w:p w14:paraId="613C7D17" w14:textId="39B18E7B" w:rsidR="00F62F77" w:rsidRDefault="00BF4258" w:rsidP="00BF4258">
      <w:pPr>
        <w:spacing w:before="80" w:after="80" w:line="276" w:lineRule="auto"/>
        <w:rPr>
          <w:szCs w:val="20"/>
        </w:rPr>
      </w:pPr>
      <w:r>
        <w:rPr>
          <w:szCs w:val="20"/>
        </w:rPr>
        <w:t xml:space="preserve">Table V presents the extraction accuracy metrics for the Llama2 7B and Mistral 7B models across the five primary activity categories, measured against ground truth annotations. Activity type classification accuracy (exact match) was 91.4% for Llama2 and 93.2% for Mistral across the full test set. Emission estimation accuracy, measured as mean absolute percentage error (MAPE) against DEFRA reference values, was 12.3% for Llama2 and 10.7% for Mistral, indicating that AI-estimated emission factors deviated from reference values by approximately 10–12% on average — a level of accuracy acceptable for a </w:t>
      </w:r>
      <w:proofErr w:type="spellStart"/>
      <w:r>
        <w:rPr>
          <w:szCs w:val="20"/>
        </w:rPr>
        <w:t>behavioral</w:t>
      </w:r>
      <w:proofErr w:type="spellEnd"/>
      <w:r>
        <w:rPr>
          <w:szCs w:val="20"/>
        </w:rPr>
        <w:t xml:space="preserve"> awareness tool where directional correctness and engagement are prioritized over actuarial precision.</w:t>
      </w:r>
    </w:p>
    <w:p w14:paraId="6FC85CB3" w14:textId="77777777" w:rsidR="00BF4258" w:rsidRDefault="00BF4258" w:rsidP="00BF4258">
      <w:pPr>
        <w:spacing w:before="80" w:after="80" w:line="276" w:lineRule="auto"/>
        <w:rPr>
          <w:szCs w:val="20"/>
        </w:rPr>
      </w:pPr>
    </w:p>
    <w:tbl>
      <w:tblPr>
        <w:tblStyle w:val="TableGrid0"/>
        <w:tblW w:w="5245" w:type="dxa"/>
        <w:tblInd w:w="-572" w:type="dxa"/>
        <w:tblLook w:val="04A0" w:firstRow="1" w:lastRow="0" w:firstColumn="1" w:lastColumn="0" w:noHBand="0" w:noVBand="1"/>
      </w:tblPr>
      <w:tblGrid>
        <w:gridCol w:w="1214"/>
        <w:gridCol w:w="679"/>
        <w:gridCol w:w="782"/>
        <w:gridCol w:w="896"/>
        <w:gridCol w:w="827"/>
        <w:gridCol w:w="847"/>
      </w:tblGrid>
      <w:tr w:rsidR="00BF4258" w14:paraId="74B8D36A" w14:textId="77777777" w:rsidTr="00AE2F8A">
        <w:trPr>
          <w:trHeight w:val="2025"/>
        </w:trPr>
        <w:tc>
          <w:tcPr>
            <w:tcW w:w="1214" w:type="dxa"/>
          </w:tcPr>
          <w:p w14:paraId="05D6A847" w14:textId="20107EDC" w:rsidR="00AE2F8A" w:rsidRPr="00BF4258" w:rsidRDefault="00BF4258" w:rsidP="00BF4258">
            <w:pPr>
              <w:spacing w:before="80" w:after="80" w:line="276" w:lineRule="auto"/>
              <w:ind w:left="0" w:firstLine="0"/>
              <w:rPr>
                <w:b/>
                <w:bCs/>
                <w:szCs w:val="20"/>
              </w:rPr>
            </w:pPr>
            <w:r w:rsidRPr="00BF4258">
              <w:rPr>
                <w:b/>
                <w:bCs/>
                <w:szCs w:val="20"/>
              </w:rPr>
              <w:t>Category</w:t>
            </w:r>
          </w:p>
        </w:tc>
        <w:tc>
          <w:tcPr>
            <w:tcW w:w="679" w:type="dxa"/>
          </w:tcPr>
          <w:p w14:paraId="17026C75" w14:textId="4589D476" w:rsidR="00BF4258" w:rsidRPr="00BF4258" w:rsidRDefault="00BF4258" w:rsidP="00BF4258">
            <w:pPr>
              <w:spacing w:before="80" w:after="80" w:line="276" w:lineRule="auto"/>
              <w:ind w:left="0" w:firstLine="0"/>
              <w:rPr>
                <w:b/>
                <w:bCs/>
                <w:szCs w:val="20"/>
              </w:rPr>
            </w:pPr>
            <w:r>
              <w:rPr>
                <w:b/>
                <w:bCs/>
                <w:szCs w:val="20"/>
              </w:rPr>
              <w:t>Sample</w:t>
            </w:r>
          </w:p>
        </w:tc>
        <w:tc>
          <w:tcPr>
            <w:tcW w:w="782" w:type="dxa"/>
          </w:tcPr>
          <w:p w14:paraId="530794FA" w14:textId="32D37DCB" w:rsidR="00AE2F8A" w:rsidRPr="00BF4258" w:rsidRDefault="00BF4258" w:rsidP="00BF4258">
            <w:pPr>
              <w:spacing w:before="80" w:after="80" w:line="276" w:lineRule="auto"/>
              <w:ind w:left="0" w:firstLine="0"/>
              <w:rPr>
                <w:b/>
                <w:bCs/>
                <w:szCs w:val="20"/>
              </w:rPr>
            </w:pPr>
            <w:r>
              <w:rPr>
                <w:b/>
                <w:bCs/>
                <w:szCs w:val="20"/>
              </w:rPr>
              <w:t xml:space="preserve">Type </w:t>
            </w:r>
            <w:proofErr w:type="spellStart"/>
            <w:r>
              <w:rPr>
                <w:b/>
                <w:bCs/>
                <w:szCs w:val="20"/>
              </w:rPr>
              <w:t>acccuracy</w:t>
            </w:r>
            <w:proofErr w:type="spellEnd"/>
            <w:r>
              <w:rPr>
                <w:b/>
                <w:bCs/>
                <w:szCs w:val="20"/>
              </w:rPr>
              <w:t xml:space="preserve"> (%)</w:t>
            </w:r>
          </w:p>
        </w:tc>
        <w:tc>
          <w:tcPr>
            <w:tcW w:w="896" w:type="dxa"/>
          </w:tcPr>
          <w:p w14:paraId="301DD664" w14:textId="77777777" w:rsidR="00BF4258" w:rsidRDefault="00BF4258" w:rsidP="00BF4258">
            <w:pPr>
              <w:spacing w:before="80" w:after="80" w:line="276" w:lineRule="auto"/>
              <w:ind w:left="0" w:firstLine="0"/>
              <w:rPr>
                <w:b/>
                <w:bCs/>
                <w:szCs w:val="20"/>
              </w:rPr>
            </w:pPr>
            <w:r>
              <w:rPr>
                <w:b/>
                <w:bCs/>
                <w:szCs w:val="20"/>
              </w:rPr>
              <w:t>Llama2</w:t>
            </w:r>
          </w:p>
          <w:p w14:paraId="70769064" w14:textId="77777777" w:rsidR="00AE2F8A" w:rsidRDefault="00AE2F8A" w:rsidP="00BF4258">
            <w:pPr>
              <w:spacing w:before="80" w:after="80" w:line="276" w:lineRule="auto"/>
              <w:ind w:left="0" w:firstLine="0"/>
              <w:rPr>
                <w:b/>
                <w:bCs/>
                <w:szCs w:val="20"/>
              </w:rPr>
            </w:pPr>
            <w:r>
              <w:rPr>
                <w:b/>
                <w:bCs/>
                <w:szCs w:val="20"/>
              </w:rPr>
              <w:t>MAPE</w:t>
            </w:r>
          </w:p>
          <w:p w14:paraId="64EB17CE" w14:textId="04612141" w:rsidR="00AE2F8A" w:rsidRPr="00BF4258" w:rsidRDefault="00AE2F8A" w:rsidP="00BF4258">
            <w:pPr>
              <w:spacing w:before="80" w:after="80" w:line="276" w:lineRule="auto"/>
              <w:ind w:left="0" w:firstLine="0"/>
              <w:rPr>
                <w:b/>
                <w:bCs/>
                <w:szCs w:val="20"/>
              </w:rPr>
            </w:pPr>
            <w:r>
              <w:rPr>
                <w:b/>
                <w:bCs/>
                <w:szCs w:val="20"/>
              </w:rPr>
              <w:t>(%)</w:t>
            </w:r>
          </w:p>
        </w:tc>
        <w:tc>
          <w:tcPr>
            <w:tcW w:w="827" w:type="dxa"/>
          </w:tcPr>
          <w:p w14:paraId="0DF529A6" w14:textId="183CF8A2" w:rsidR="00AE2F8A" w:rsidRDefault="00AE2F8A" w:rsidP="00BF4258">
            <w:pPr>
              <w:spacing w:before="80" w:after="80" w:line="276" w:lineRule="auto"/>
              <w:ind w:left="0" w:firstLine="0"/>
              <w:rPr>
                <w:b/>
                <w:bCs/>
                <w:szCs w:val="20"/>
              </w:rPr>
            </w:pPr>
            <w:r>
              <w:rPr>
                <w:b/>
                <w:bCs/>
                <w:szCs w:val="20"/>
              </w:rPr>
              <w:t>Mistral MAPE</w:t>
            </w:r>
          </w:p>
          <w:p w14:paraId="29FD23A3" w14:textId="1EE40B56" w:rsidR="00AE2F8A" w:rsidRPr="00AE2F8A" w:rsidRDefault="00AE2F8A" w:rsidP="00BF4258">
            <w:pPr>
              <w:spacing w:before="80" w:after="80" w:line="276" w:lineRule="auto"/>
              <w:ind w:left="0" w:firstLine="0"/>
              <w:rPr>
                <w:b/>
                <w:bCs/>
                <w:szCs w:val="20"/>
              </w:rPr>
            </w:pPr>
            <w:r>
              <w:rPr>
                <w:b/>
                <w:bCs/>
                <w:szCs w:val="20"/>
              </w:rPr>
              <w:t>(%)</w:t>
            </w:r>
          </w:p>
        </w:tc>
        <w:tc>
          <w:tcPr>
            <w:tcW w:w="847" w:type="dxa"/>
          </w:tcPr>
          <w:p w14:paraId="417E646A" w14:textId="77777777" w:rsidR="00AE2F8A" w:rsidRDefault="00AE2F8A" w:rsidP="00BF4258">
            <w:pPr>
              <w:spacing w:before="80" w:after="80" w:line="276" w:lineRule="auto"/>
              <w:ind w:left="0" w:firstLine="0"/>
              <w:rPr>
                <w:b/>
                <w:bCs/>
                <w:szCs w:val="20"/>
              </w:rPr>
            </w:pPr>
            <w:r w:rsidRPr="00AE2F8A">
              <w:rPr>
                <w:b/>
                <w:bCs/>
                <w:szCs w:val="20"/>
              </w:rPr>
              <w:t>Confidence score</w:t>
            </w:r>
          </w:p>
          <w:p w14:paraId="6F4CE9F8" w14:textId="02634263" w:rsidR="00AE2F8A" w:rsidRPr="00AE2F8A" w:rsidRDefault="00AE2F8A" w:rsidP="00BF4258">
            <w:pPr>
              <w:spacing w:before="80" w:after="80" w:line="276" w:lineRule="auto"/>
              <w:ind w:left="0" w:firstLine="0"/>
              <w:rPr>
                <w:b/>
                <w:bCs/>
                <w:szCs w:val="20"/>
              </w:rPr>
            </w:pPr>
            <w:r>
              <w:rPr>
                <w:b/>
                <w:bCs/>
                <w:szCs w:val="20"/>
              </w:rPr>
              <w:t>(%)</w:t>
            </w:r>
          </w:p>
        </w:tc>
      </w:tr>
      <w:tr w:rsidR="00AE2F8A" w14:paraId="092D37C8" w14:textId="77777777" w:rsidTr="00AE2F8A">
        <w:trPr>
          <w:trHeight w:val="557"/>
        </w:trPr>
        <w:tc>
          <w:tcPr>
            <w:tcW w:w="1214" w:type="dxa"/>
          </w:tcPr>
          <w:p w14:paraId="71938151" w14:textId="350630EE" w:rsidR="00AE2F8A" w:rsidRDefault="00AE2F8A" w:rsidP="00AE2F8A">
            <w:pPr>
              <w:spacing w:before="80" w:after="80" w:line="276" w:lineRule="auto"/>
              <w:ind w:left="0" w:firstLine="0"/>
              <w:rPr>
                <w:szCs w:val="20"/>
              </w:rPr>
            </w:pPr>
            <w:r>
              <w:rPr>
                <w:b/>
                <w:bCs/>
                <w:color w:val="1A1A1A"/>
                <w:sz w:val="18"/>
                <w:szCs w:val="18"/>
              </w:rPr>
              <w:t>Transportation</w:t>
            </w:r>
          </w:p>
        </w:tc>
        <w:tc>
          <w:tcPr>
            <w:tcW w:w="679" w:type="dxa"/>
          </w:tcPr>
          <w:p w14:paraId="42D4EB59" w14:textId="498FF101" w:rsidR="00AE2F8A" w:rsidRDefault="00AE2F8A" w:rsidP="00AE2F8A">
            <w:pPr>
              <w:spacing w:before="80" w:after="80" w:line="276" w:lineRule="auto"/>
              <w:ind w:left="0" w:firstLine="0"/>
              <w:rPr>
                <w:szCs w:val="20"/>
              </w:rPr>
            </w:pPr>
            <w:r>
              <w:rPr>
                <w:color w:val="1A1A1A"/>
                <w:sz w:val="18"/>
                <w:szCs w:val="18"/>
              </w:rPr>
              <w:t>269</w:t>
            </w:r>
          </w:p>
        </w:tc>
        <w:tc>
          <w:tcPr>
            <w:tcW w:w="782" w:type="dxa"/>
          </w:tcPr>
          <w:p w14:paraId="7D5596F6" w14:textId="321D8556" w:rsidR="00AE2F8A" w:rsidRDefault="00AE2F8A" w:rsidP="00AE2F8A">
            <w:pPr>
              <w:spacing w:before="80" w:after="80" w:line="276" w:lineRule="auto"/>
              <w:ind w:left="0" w:firstLine="0"/>
              <w:rPr>
                <w:szCs w:val="20"/>
              </w:rPr>
            </w:pPr>
            <w:r>
              <w:rPr>
                <w:color w:val="1A1A1A"/>
                <w:sz w:val="18"/>
                <w:szCs w:val="18"/>
              </w:rPr>
              <w:t>94.1</w:t>
            </w:r>
          </w:p>
        </w:tc>
        <w:tc>
          <w:tcPr>
            <w:tcW w:w="896" w:type="dxa"/>
          </w:tcPr>
          <w:p w14:paraId="578D4F35" w14:textId="31910325" w:rsidR="00AE2F8A" w:rsidRDefault="00AE2F8A" w:rsidP="00AE2F8A">
            <w:pPr>
              <w:spacing w:before="80" w:after="80" w:line="276" w:lineRule="auto"/>
              <w:ind w:left="0" w:firstLine="0"/>
              <w:rPr>
                <w:szCs w:val="20"/>
              </w:rPr>
            </w:pPr>
            <w:r>
              <w:rPr>
                <w:color w:val="1A1A1A"/>
                <w:sz w:val="18"/>
                <w:szCs w:val="18"/>
              </w:rPr>
              <w:t>9.8</w:t>
            </w:r>
          </w:p>
        </w:tc>
        <w:tc>
          <w:tcPr>
            <w:tcW w:w="827" w:type="dxa"/>
          </w:tcPr>
          <w:p w14:paraId="63247733" w14:textId="2332602F" w:rsidR="00AE2F8A" w:rsidRDefault="00AE2F8A" w:rsidP="00AE2F8A">
            <w:pPr>
              <w:spacing w:before="80" w:after="80" w:line="276" w:lineRule="auto"/>
              <w:ind w:left="0" w:firstLine="0"/>
              <w:rPr>
                <w:szCs w:val="20"/>
              </w:rPr>
            </w:pPr>
            <w:r>
              <w:rPr>
                <w:color w:val="1A1A1A"/>
                <w:sz w:val="18"/>
                <w:szCs w:val="18"/>
              </w:rPr>
              <w:t>8.2</w:t>
            </w:r>
          </w:p>
        </w:tc>
        <w:tc>
          <w:tcPr>
            <w:tcW w:w="847" w:type="dxa"/>
          </w:tcPr>
          <w:p w14:paraId="08FDBC4B" w14:textId="5EA0B853" w:rsidR="00AE2F8A" w:rsidRDefault="00AE2F8A" w:rsidP="00AE2F8A">
            <w:pPr>
              <w:spacing w:before="80" w:after="80" w:line="276" w:lineRule="auto"/>
              <w:ind w:left="0" w:firstLine="0"/>
              <w:rPr>
                <w:szCs w:val="20"/>
              </w:rPr>
            </w:pPr>
            <w:r>
              <w:rPr>
                <w:color w:val="1A1A1A"/>
                <w:sz w:val="18"/>
                <w:szCs w:val="18"/>
              </w:rPr>
              <w:t>0.83</w:t>
            </w:r>
          </w:p>
        </w:tc>
      </w:tr>
      <w:tr w:rsidR="00AE2F8A" w14:paraId="3A714B10" w14:textId="77777777" w:rsidTr="00AE2F8A">
        <w:trPr>
          <w:trHeight w:val="538"/>
        </w:trPr>
        <w:tc>
          <w:tcPr>
            <w:tcW w:w="1214" w:type="dxa"/>
          </w:tcPr>
          <w:p w14:paraId="26C19F6B" w14:textId="56CC2C68" w:rsidR="00AE2F8A" w:rsidRDefault="00AE2F8A" w:rsidP="00AE2F8A">
            <w:pPr>
              <w:spacing w:before="80" w:after="80" w:line="276" w:lineRule="auto"/>
              <w:ind w:left="0" w:firstLine="0"/>
              <w:rPr>
                <w:szCs w:val="20"/>
              </w:rPr>
            </w:pPr>
            <w:r>
              <w:rPr>
                <w:b/>
                <w:bCs/>
                <w:color w:val="1A1A1A"/>
                <w:sz w:val="18"/>
                <w:szCs w:val="18"/>
              </w:rPr>
              <w:t>Food/Diet</w:t>
            </w:r>
          </w:p>
        </w:tc>
        <w:tc>
          <w:tcPr>
            <w:tcW w:w="679" w:type="dxa"/>
          </w:tcPr>
          <w:p w14:paraId="6D0D8257" w14:textId="71D06CF7" w:rsidR="00AE2F8A" w:rsidRDefault="00AE2F8A" w:rsidP="00AE2F8A">
            <w:pPr>
              <w:spacing w:before="80" w:after="80" w:line="276" w:lineRule="auto"/>
              <w:ind w:left="0" w:firstLine="0"/>
              <w:rPr>
                <w:szCs w:val="20"/>
              </w:rPr>
            </w:pPr>
            <w:r>
              <w:rPr>
                <w:color w:val="1A1A1A"/>
                <w:sz w:val="18"/>
                <w:szCs w:val="18"/>
              </w:rPr>
              <w:t>240</w:t>
            </w:r>
          </w:p>
        </w:tc>
        <w:tc>
          <w:tcPr>
            <w:tcW w:w="782" w:type="dxa"/>
          </w:tcPr>
          <w:p w14:paraId="3A4E45D5" w14:textId="63F1421B" w:rsidR="00AE2F8A" w:rsidRDefault="00AE2F8A" w:rsidP="00AE2F8A">
            <w:pPr>
              <w:spacing w:before="80" w:after="80" w:line="276" w:lineRule="auto"/>
              <w:ind w:left="0" w:firstLine="0"/>
              <w:rPr>
                <w:szCs w:val="20"/>
              </w:rPr>
            </w:pPr>
            <w:r>
              <w:rPr>
                <w:color w:val="1A1A1A"/>
                <w:sz w:val="18"/>
                <w:szCs w:val="18"/>
              </w:rPr>
              <w:t>92.5</w:t>
            </w:r>
          </w:p>
        </w:tc>
        <w:tc>
          <w:tcPr>
            <w:tcW w:w="896" w:type="dxa"/>
          </w:tcPr>
          <w:p w14:paraId="67D9CA87" w14:textId="3981E1BF" w:rsidR="00AE2F8A" w:rsidRDefault="00AE2F8A" w:rsidP="00AE2F8A">
            <w:pPr>
              <w:spacing w:before="80" w:after="80" w:line="276" w:lineRule="auto"/>
              <w:ind w:left="0" w:firstLine="0"/>
              <w:rPr>
                <w:szCs w:val="20"/>
              </w:rPr>
            </w:pPr>
            <w:r>
              <w:rPr>
                <w:color w:val="1A1A1A"/>
                <w:sz w:val="18"/>
                <w:szCs w:val="18"/>
              </w:rPr>
              <w:t>11.4</w:t>
            </w:r>
          </w:p>
        </w:tc>
        <w:tc>
          <w:tcPr>
            <w:tcW w:w="827" w:type="dxa"/>
          </w:tcPr>
          <w:p w14:paraId="293B8831" w14:textId="46BE315B" w:rsidR="00AE2F8A" w:rsidRDefault="00AE2F8A" w:rsidP="00AE2F8A">
            <w:pPr>
              <w:spacing w:before="80" w:after="80" w:line="276" w:lineRule="auto"/>
              <w:ind w:left="0" w:firstLine="0"/>
              <w:rPr>
                <w:szCs w:val="20"/>
              </w:rPr>
            </w:pPr>
            <w:r>
              <w:rPr>
                <w:color w:val="1A1A1A"/>
                <w:sz w:val="18"/>
                <w:szCs w:val="18"/>
              </w:rPr>
              <w:t>9.7</w:t>
            </w:r>
          </w:p>
        </w:tc>
        <w:tc>
          <w:tcPr>
            <w:tcW w:w="847" w:type="dxa"/>
          </w:tcPr>
          <w:p w14:paraId="6BE48FE6" w14:textId="09784927" w:rsidR="00AE2F8A" w:rsidRDefault="00AE2F8A" w:rsidP="00AE2F8A">
            <w:pPr>
              <w:spacing w:before="80" w:after="80" w:line="276" w:lineRule="auto"/>
              <w:ind w:left="0" w:firstLine="0"/>
              <w:rPr>
                <w:szCs w:val="20"/>
              </w:rPr>
            </w:pPr>
            <w:r>
              <w:rPr>
                <w:color w:val="1A1A1A"/>
                <w:sz w:val="18"/>
                <w:szCs w:val="18"/>
              </w:rPr>
              <w:t>0.79</w:t>
            </w:r>
          </w:p>
        </w:tc>
      </w:tr>
      <w:tr w:rsidR="00AE2F8A" w14:paraId="114BF2CC" w14:textId="77777777" w:rsidTr="00AE2F8A">
        <w:trPr>
          <w:trHeight w:val="557"/>
        </w:trPr>
        <w:tc>
          <w:tcPr>
            <w:tcW w:w="1214" w:type="dxa"/>
          </w:tcPr>
          <w:p w14:paraId="27597CDB" w14:textId="669B0F85" w:rsidR="00AE2F8A" w:rsidRDefault="00AE2F8A" w:rsidP="00AE2F8A">
            <w:pPr>
              <w:spacing w:before="80" w:after="80" w:line="276" w:lineRule="auto"/>
              <w:ind w:left="0" w:firstLine="0"/>
              <w:rPr>
                <w:szCs w:val="20"/>
              </w:rPr>
            </w:pPr>
            <w:r>
              <w:rPr>
                <w:b/>
                <w:bCs/>
                <w:color w:val="1A1A1A"/>
                <w:sz w:val="18"/>
                <w:szCs w:val="18"/>
              </w:rPr>
              <w:t>Home Energy</w:t>
            </w:r>
          </w:p>
        </w:tc>
        <w:tc>
          <w:tcPr>
            <w:tcW w:w="679" w:type="dxa"/>
          </w:tcPr>
          <w:p w14:paraId="2F17A172" w14:textId="65AF3D8D" w:rsidR="00AE2F8A" w:rsidRDefault="00AE2F8A" w:rsidP="00AE2F8A">
            <w:pPr>
              <w:spacing w:before="80" w:after="80" w:line="276" w:lineRule="auto"/>
              <w:ind w:left="0" w:firstLine="0"/>
              <w:rPr>
                <w:szCs w:val="20"/>
              </w:rPr>
            </w:pPr>
            <w:r>
              <w:rPr>
                <w:color w:val="1A1A1A"/>
                <w:sz w:val="18"/>
                <w:szCs w:val="18"/>
              </w:rPr>
              <w:t>192</w:t>
            </w:r>
          </w:p>
        </w:tc>
        <w:tc>
          <w:tcPr>
            <w:tcW w:w="782" w:type="dxa"/>
          </w:tcPr>
          <w:p w14:paraId="38995B9F" w14:textId="0ED93B11" w:rsidR="00AE2F8A" w:rsidRDefault="00AE2F8A" w:rsidP="00AE2F8A">
            <w:pPr>
              <w:spacing w:before="80" w:after="80" w:line="276" w:lineRule="auto"/>
              <w:ind w:left="0" w:firstLine="0"/>
              <w:rPr>
                <w:szCs w:val="20"/>
              </w:rPr>
            </w:pPr>
            <w:r>
              <w:rPr>
                <w:color w:val="1A1A1A"/>
                <w:sz w:val="18"/>
                <w:szCs w:val="18"/>
              </w:rPr>
              <w:t>93.8</w:t>
            </w:r>
          </w:p>
        </w:tc>
        <w:tc>
          <w:tcPr>
            <w:tcW w:w="896" w:type="dxa"/>
          </w:tcPr>
          <w:p w14:paraId="6E5CA7FE" w14:textId="3EBBC3C8" w:rsidR="00AE2F8A" w:rsidRDefault="00AE2F8A" w:rsidP="00AE2F8A">
            <w:pPr>
              <w:spacing w:before="80" w:after="80" w:line="276" w:lineRule="auto"/>
              <w:ind w:left="0" w:firstLine="0"/>
              <w:rPr>
                <w:szCs w:val="20"/>
              </w:rPr>
            </w:pPr>
            <w:r>
              <w:rPr>
                <w:color w:val="1A1A1A"/>
                <w:sz w:val="18"/>
                <w:szCs w:val="18"/>
              </w:rPr>
              <w:t>10.1</w:t>
            </w:r>
          </w:p>
        </w:tc>
        <w:tc>
          <w:tcPr>
            <w:tcW w:w="827" w:type="dxa"/>
          </w:tcPr>
          <w:p w14:paraId="73A5B52E" w14:textId="4452A9DF" w:rsidR="00AE2F8A" w:rsidRDefault="00AE2F8A" w:rsidP="00AE2F8A">
            <w:pPr>
              <w:spacing w:before="80" w:after="80" w:line="276" w:lineRule="auto"/>
              <w:ind w:left="0" w:firstLine="0"/>
              <w:rPr>
                <w:szCs w:val="20"/>
              </w:rPr>
            </w:pPr>
            <w:r>
              <w:rPr>
                <w:color w:val="1A1A1A"/>
                <w:sz w:val="18"/>
                <w:szCs w:val="18"/>
              </w:rPr>
              <w:t>8.9</w:t>
            </w:r>
          </w:p>
        </w:tc>
        <w:tc>
          <w:tcPr>
            <w:tcW w:w="847" w:type="dxa"/>
          </w:tcPr>
          <w:p w14:paraId="372493EE" w14:textId="324B9E2A" w:rsidR="00AE2F8A" w:rsidRDefault="00AE2F8A" w:rsidP="00AE2F8A">
            <w:pPr>
              <w:spacing w:before="80" w:after="80" w:line="276" w:lineRule="auto"/>
              <w:ind w:left="0" w:firstLine="0"/>
              <w:rPr>
                <w:szCs w:val="20"/>
              </w:rPr>
            </w:pPr>
            <w:r>
              <w:rPr>
                <w:color w:val="1A1A1A"/>
                <w:sz w:val="18"/>
                <w:szCs w:val="18"/>
              </w:rPr>
              <w:t>0.81</w:t>
            </w:r>
          </w:p>
        </w:tc>
      </w:tr>
      <w:tr w:rsidR="00AE2F8A" w14:paraId="0066CA09" w14:textId="77777777" w:rsidTr="00AE2F8A">
        <w:trPr>
          <w:trHeight w:val="538"/>
        </w:trPr>
        <w:tc>
          <w:tcPr>
            <w:tcW w:w="1214" w:type="dxa"/>
          </w:tcPr>
          <w:p w14:paraId="29AE2DB7" w14:textId="19FF760B" w:rsidR="00AE2F8A" w:rsidRDefault="00AE2F8A" w:rsidP="00AE2F8A">
            <w:pPr>
              <w:spacing w:before="80" w:after="80" w:line="276" w:lineRule="auto"/>
              <w:ind w:left="0" w:firstLine="0"/>
              <w:rPr>
                <w:szCs w:val="20"/>
              </w:rPr>
            </w:pPr>
            <w:r>
              <w:rPr>
                <w:b/>
                <w:bCs/>
                <w:color w:val="1A1A1A"/>
                <w:sz w:val="18"/>
                <w:szCs w:val="18"/>
              </w:rPr>
              <w:t>Shopping</w:t>
            </w:r>
          </w:p>
        </w:tc>
        <w:tc>
          <w:tcPr>
            <w:tcW w:w="679" w:type="dxa"/>
          </w:tcPr>
          <w:p w14:paraId="1A1C8266" w14:textId="78605417" w:rsidR="00AE2F8A" w:rsidRDefault="00AE2F8A" w:rsidP="00AE2F8A">
            <w:pPr>
              <w:spacing w:before="80" w:after="80" w:line="276" w:lineRule="auto"/>
              <w:ind w:left="0" w:firstLine="0"/>
              <w:rPr>
                <w:szCs w:val="20"/>
              </w:rPr>
            </w:pPr>
            <w:r>
              <w:rPr>
                <w:color w:val="1A1A1A"/>
                <w:sz w:val="18"/>
                <w:szCs w:val="18"/>
              </w:rPr>
              <w:t>115</w:t>
            </w:r>
          </w:p>
        </w:tc>
        <w:tc>
          <w:tcPr>
            <w:tcW w:w="782" w:type="dxa"/>
          </w:tcPr>
          <w:p w14:paraId="52C35061" w14:textId="2286FD3A" w:rsidR="00AE2F8A" w:rsidRDefault="00AE2F8A" w:rsidP="00AE2F8A">
            <w:pPr>
              <w:spacing w:before="80" w:after="80" w:line="276" w:lineRule="auto"/>
              <w:ind w:left="0" w:firstLine="0"/>
              <w:rPr>
                <w:szCs w:val="20"/>
              </w:rPr>
            </w:pPr>
            <w:r>
              <w:rPr>
                <w:color w:val="1A1A1A"/>
                <w:sz w:val="18"/>
                <w:szCs w:val="18"/>
              </w:rPr>
              <w:t>88.7</w:t>
            </w:r>
          </w:p>
        </w:tc>
        <w:tc>
          <w:tcPr>
            <w:tcW w:w="896" w:type="dxa"/>
          </w:tcPr>
          <w:p w14:paraId="29EF8476" w14:textId="2FAD721D" w:rsidR="00AE2F8A" w:rsidRDefault="00AE2F8A" w:rsidP="00AE2F8A">
            <w:pPr>
              <w:spacing w:before="80" w:after="80" w:line="276" w:lineRule="auto"/>
              <w:ind w:left="0" w:firstLine="0"/>
              <w:rPr>
                <w:szCs w:val="20"/>
              </w:rPr>
            </w:pPr>
            <w:r>
              <w:rPr>
                <w:color w:val="1A1A1A"/>
                <w:sz w:val="18"/>
                <w:szCs w:val="18"/>
              </w:rPr>
              <w:t>16.2</w:t>
            </w:r>
          </w:p>
        </w:tc>
        <w:tc>
          <w:tcPr>
            <w:tcW w:w="827" w:type="dxa"/>
          </w:tcPr>
          <w:p w14:paraId="64B979EF" w14:textId="2BFF866C" w:rsidR="00AE2F8A" w:rsidRDefault="00AE2F8A" w:rsidP="00AE2F8A">
            <w:pPr>
              <w:spacing w:before="80" w:after="80" w:line="276" w:lineRule="auto"/>
              <w:ind w:left="0" w:firstLine="0"/>
              <w:rPr>
                <w:szCs w:val="20"/>
              </w:rPr>
            </w:pPr>
            <w:r>
              <w:rPr>
                <w:color w:val="1A1A1A"/>
                <w:sz w:val="18"/>
                <w:szCs w:val="18"/>
              </w:rPr>
              <w:t>14.1</w:t>
            </w:r>
          </w:p>
        </w:tc>
        <w:tc>
          <w:tcPr>
            <w:tcW w:w="847" w:type="dxa"/>
          </w:tcPr>
          <w:p w14:paraId="3A87A236" w14:textId="04D4A671" w:rsidR="00AE2F8A" w:rsidRDefault="00AE2F8A" w:rsidP="00AE2F8A">
            <w:pPr>
              <w:spacing w:before="80" w:after="80" w:line="276" w:lineRule="auto"/>
              <w:ind w:left="0" w:firstLine="0"/>
              <w:rPr>
                <w:szCs w:val="20"/>
              </w:rPr>
            </w:pPr>
            <w:r>
              <w:rPr>
                <w:color w:val="1A1A1A"/>
                <w:sz w:val="18"/>
                <w:szCs w:val="18"/>
              </w:rPr>
              <w:t>0.71</w:t>
            </w:r>
          </w:p>
        </w:tc>
      </w:tr>
      <w:tr w:rsidR="00AE2F8A" w14:paraId="3929234A" w14:textId="77777777" w:rsidTr="00AE2F8A">
        <w:trPr>
          <w:trHeight w:val="557"/>
        </w:trPr>
        <w:tc>
          <w:tcPr>
            <w:tcW w:w="1214" w:type="dxa"/>
          </w:tcPr>
          <w:p w14:paraId="02617BA3" w14:textId="6D020248" w:rsidR="00AE2F8A" w:rsidRDefault="00AE2F8A" w:rsidP="00AE2F8A">
            <w:pPr>
              <w:spacing w:before="80" w:after="80" w:line="276" w:lineRule="auto"/>
              <w:ind w:left="0" w:firstLine="0"/>
              <w:rPr>
                <w:szCs w:val="20"/>
              </w:rPr>
            </w:pPr>
            <w:r>
              <w:rPr>
                <w:b/>
                <w:bCs/>
                <w:color w:val="1A1A1A"/>
                <w:sz w:val="18"/>
                <w:szCs w:val="18"/>
              </w:rPr>
              <w:t>Recreation</w:t>
            </w:r>
          </w:p>
        </w:tc>
        <w:tc>
          <w:tcPr>
            <w:tcW w:w="679" w:type="dxa"/>
          </w:tcPr>
          <w:p w14:paraId="70D0D0D0" w14:textId="011E7E12" w:rsidR="00AE2F8A" w:rsidRDefault="00AE2F8A" w:rsidP="00AE2F8A">
            <w:pPr>
              <w:spacing w:before="80" w:after="80" w:line="276" w:lineRule="auto"/>
              <w:ind w:left="0" w:firstLine="0"/>
              <w:rPr>
                <w:szCs w:val="20"/>
              </w:rPr>
            </w:pPr>
            <w:r>
              <w:rPr>
                <w:color w:val="1A1A1A"/>
                <w:sz w:val="18"/>
                <w:szCs w:val="18"/>
              </w:rPr>
              <w:t>86</w:t>
            </w:r>
          </w:p>
        </w:tc>
        <w:tc>
          <w:tcPr>
            <w:tcW w:w="782" w:type="dxa"/>
          </w:tcPr>
          <w:p w14:paraId="15E7B769" w14:textId="09D71A09" w:rsidR="00AE2F8A" w:rsidRDefault="00AE2F8A" w:rsidP="00AE2F8A">
            <w:pPr>
              <w:spacing w:before="80" w:after="80" w:line="276" w:lineRule="auto"/>
              <w:ind w:left="0" w:firstLine="0"/>
              <w:rPr>
                <w:szCs w:val="20"/>
              </w:rPr>
            </w:pPr>
            <w:r>
              <w:rPr>
                <w:color w:val="1A1A1A"/>
                <w:sz w:val="18"/>
                <w:szCs w:val="18"/>
              </w:rPr>
              <w:t>89.5</w:t>
            </w:r>
          </w:p>
        </w:tc>
        <w:tc>
          <w:tcPr>
            <w:tcW w:w="896" w:type="dxa"/>
          </w:tcPr>
          <w:p w14:paraId="7573F482" w14:textId="1C0E862B" w:rsidR="00AE2F8A" w:rsidRDefault="00AE2F8A" w:rsidP="00AE2F8A">
            <w:pPr>
              <w:spacing w:before="80" w:after="80" w:line="276" w:lineRule="auto"/>
              <w:ind w:left="0" w:firstLine="0"/>
              <w:rPr>
                <w:szCs w:val="20"/>
              </w:rPr>
            </w:pPr>
            <w:r>
              <w:rPr>
                <w:color w:val="1A1A1A"/>
                <w:sz w:val="18"/>
                <w:szCs w:val="18"/>
              </w:rPr>
              <w:t>14.7</w:t>
            </w:r>
          </w:p>
        </w:tc>
        <w:tc>
          <w:tcPr>
            <w:tcW w:w="827" w:type="dxa"/>
          </w:tcPr>
          <w:p w14:paraId="7C78165C" w14:textId="743DD5C1" w:rsidR="00AE2F8A" w:rsidRDefault="00AE2F8A" w:rsidP="00AE2F8A">
            <w:pPr>
              <w:spacing w:before="80" w:after="80" w:line="276" w:lineRule="auto"/>
              <w:ind w:left="0" w:firstLine="0"/>
              <w:rPr>
                <w:szCs w:val="20"/>
              </w:rPr>
            </w:pPr>
            <w:r>
              <w:rPr>
                <w:color w:val="1A1A1A"/>
                <w:sz w:val="18"/>
                <w:szCs w:val="18"/>
              </w:rPr>
              <w:t>12.8</w:t>
            </w:r>
          </w:p>
        </w:tc>
        <w:tc>
          <w:tcPr>
            <w:tcW w:w="847" w:type="dxa"/>
          </w:tcPr>
          <w:p w14:paraId="25FEC06F" w14:textId="033E432B" w:rsidR="00AE2F8A" w:rsidRDefault="00AE2F8A" w:rsidP="00AE2F8A">
            <w:pPr>
              <w:spacing w:before="80" w:after="80" w:line="276" w:lineRule="auto"/>
              <w:ind w:left="0" w:firstLine="0"/>
              <w:rPr>
                <w:szCs w:val="20"/>
              </w:rPr>
            </w:pPr>
            <w:r>
              <w:rPr>
                <w:color w:val="1A1A1A"/>
                <w:sz w:val="18"/>
                <w:szCs w:val="18"/>
              </w:rPr>
              <w:t>0.73</w:t>
            </w:r>
          </w:p>
        </w:tc>
      </w:tr>
      <w:tr w:rsidR="00AE2F8A" w14:paraId="412FA7C0" w14:textId="77777777" w:rsidTr="00AE2F8A">
        <w:trPr>
          <w:trHeight w:val="538"/>
        </w:trPr>
        <w:tc>
          <w:tcPr>
            <w:tcW w:w="1214" w:type="dxa"/>
          </w:tcPr>
          <w:p w14:paraId="7A3B93DD" w14:textId="06A36FAA" w:rsidR="00AE2F8A" w:rsidRDefault="00AE2F8A" w:rsidP="00AE2F8A">
            <w:pPr>
              <w:spacing w:before="80" w:after="80" w:line="276" w:lineRule="auto"/>
              <w:ind w:left="0" w:firstLine="0"/>
              <w:rPr>
                <w:szCs w:val="20"/>
              </w:rPr>
            </w:pPr>
            <w:r>
              <w:rPr>
                <w:b/>
                <w:bCs/>
                <w:color w:val="1A1A1A"/>
                <w:sz w:val="18"/>
                <w:szCs w:val="18"/>
              </w:rPr>
              <w:t xml:space="preserve">Waste </w:t>
            </w:r>
            <w:proofErr w:type="spellStart"/>
            <w:r>
              <w:rPr>
                <w:b/>
                <w:bCs/>
                <w:color w:val="1A1A1A"/>
                <w:sz w:val="18"/>
                <w:szCs w:val="18"/>
              </w:rPr>
              <w:t>Mgmt</w:t>
            </w:r>
            <w:proofErr w:type="spellEnd"/>
          </w:p>
        </w:tc>
        <w:tc>
          <w:tcPr>
            <w:tcW w:w="679" w:type="dxa"/>
          </w:tcPr>
          <w:p w14:paraId="5AA47826" w14:textId="46FF7239" w:rsidR="00AE2F8A" w:rsidRDefault="00AE2F8A" w:rsidP="00AE2F8A">
            <w:pPr>
              <w:spacing w:before="80" w:after="80" w:line="276" w:lineRule="auto"/>
              <w:ind w:left="0" w:firstLine="0"/>
              <w:rPr>
                <w:szCs w:val="20"/>
              </w:rPr>
            </w:pPr>
            <w:r>
              <w:rPr>
                <w:color w:val="1A1A1A"/>
                <w:sz w:val="18"/>
                <w:szCs w:val="18"/>
              </w:rPr>
              <w:t>58</w:t>
            </w:r>
          </w:p>
        </w:tc>
        <w:tc>
          <w:tcPr>
            <w:tcW w:w="782" w:type="dxa"/>
          </w:tcPr>
          <w:p w14:paraId="72A2352D" w14:textId="50CDDEA5" w:rsidR="00AE2F8A" w:rsidRDefault="00AE2F8A" w:rsidP="00AE2F8A">
            <w:pPr>
              <w:spacing w:before="80" w:after="80" w:line="276" w:lineRule="auto"/>
              <w:ind w:left="0" w:firstLine="0"/>
              <w:rPr>
                <w:szCs w:val="20"/>
              </w:rPr>
            </w:pPr>
            <w:r>
              <w:rPr>
                <w:color w:val="1A1A1A"/>
                <w:sz w:val="18"/>
                <w:szCs w:val="18"/>
              </w:rPr>
              <w:t>86.2</w:t>
            </w:r>
          </w:p>
        </w:tc>
        <w:tc>
          <w:tcPr>
            <w:tcW w:w="896" w:type="dxa"/>
          </w:tcPr>
          <w:p w14:paraId="53DEE45A" w14:textId="04E34AB8" w:rsidR="00AE2F8A" w:rsidRDefault="00AE2F8A" w:rsidP="00AE2F8A">
            <w:pPr>
              <w:spacing w:before="80" w:after="80" w:line="276" w:lineRule="auto"/>
              <w:ind w:left="0" w:firstLine="0"/>
              <w:rPr>
                <w:szCs w:val="20"/>
              </w:rPr>
            </w:pPr>
            <w:r>
              <w:rPr>
                <w:color w:val="1A1A1A"/>
                <w:sz w:val="18"/>
                <w:szCs w:val="18"/>
              </w:rPr>
              <w:t>18.3</w:t>
            </w:r>
          </w:p>
        </w:tc>
        <w:tc>
          <w:tcPr>
            <w:tcW w:w="827" w:type="dxa"/>
          </w:tcPr>
          <w:p w14:paraId="28EB24D7" w14:textId="1EB6221A" w:rsidR="00AE2F8A" w:rsidRDefault="00AE2F8A" w:rsidP="00AE2F8A">
            <w:pPr>
              <w:spacing w:before="80" w:after="80" w:line="276" w:lineRule="auto"/>
              <w:ind w:left="0" w:firstLine="0"/>
              <w:rPr>
                <w:szCs w:val="20"/>
              </w:rPr>
            </w:pPr>
            <w:r>
              <w:rPr>
                <w:color w:val="1A1A1A"/>
                <w:sz w:val="18"/>
                <w:szCs w:val="18"/>
              </w:rPr>
              <w:t>15.6</w:t>
            </w:r>
          </w:p>
        </w:tc>
        <w:tc>
          <w:tcPr>
            <w:tcW w:w="847" w:type="dxa"/>
          </w:tcPr>
          <w:p w14:paraId="5FF12545" w14:textId="4C470E32" w:rsidR="00AE2F8A" w:rsidRDefault="00AE2F8A" w:rsidP="00AE2F8A">
            <w:pPr>
              <w:spacing w:before="80" w:after="80" w:line="276" w:lineRule="auto"/>
              <w:ind w:left="0" w:firstLine="0"/>
              <w:rPr>
                <w:szCs w:val="20"/>
              </w:rPr>
            </w:pPr>
            <w:r>
              <w:rPr>
                <w:color w:val="1A1A1A"/>
                <w:sz w:val="18"/>
                <w:szCs w:val="18"/>
              </w:rPr>
              <w:t>0.68</w:t>
            </w:r>
          </w:p>
        </w:tc>
      </w:tr>
      <w:tr w:rsidR="00AE2F8A" w14:paraId="6095BD70" w14:textId="77777777" w:rsidTr="00AE2F8A">
        <w:trPr>
          <w:trHeight w:val="538"/>
        </w:trPr>
        <w:tc>
          <w:tcPr>
            <w:tcW w:w="1214" w:type="dxa"/>
          </w:tcPr>
          <w:p w14:paraId="5C4348DD" w14:textId="5CF86A55" w:rsidR="00AE2F8A" w:rsidRDefault="00AE2F8A" w:rsidP="00AE2F8A">
            <w:pPr>
              <w:spacing w:before="80" w:after="80" w:line="276" w:lineRule="auto"/>
              <w:ind w:left="0" w:firstLine="0"/>
              <w:rPr>
                <w:szCs w:val="20"/>
              </w:rPr>
            </w:pPr>
            <w:r>
              <w:rPr>
                <w:b/>
                <w:bCs/>
                <w:color w:val="1A1A1A"/>
                <w:sz w:val="18"/>
                <w:szCs w:val="18"/>
              </w:rPr>
              <w:t>OVERALL</w:t>
            </w:r>
          </w:p>
        </w:tc>
        <w:tc>
          <w:tcPr>
            <w:tcW w:w="679" w:type="dxa"/>
          </w:tcPr>
          <w:p w14:paraId="1C4F3781" w14:textId="4114145F" w:rsidR="00AE2F8A" w:rsidRDefault="00AE2F8A" w:rsidP="00AE2F8A">
            <w:pPr>
              <w:spacing w:before="80" w:after="80" w:line="276" w:lineRule="auto"/>
              <w:ind w:left="0" w:firstLine="0"/>
              <w:rPr>
                <w:szCs w:val="20"/>
              </w:rPr>
            </w:pPr>
            <w:r>
              <w:rPr>
                <w:b/>
                <w:bCs/>
                <w:color w:val="1A1A1A"/>
                <w:sz w:val="18"/>
                <w:szCs w:val="18"/>
              </w:rPr>
              <w:t>960</w:t>
            </w:r>
          </w:p>
        </w:tc>
        <w:tc>
          <w:tcPr>
            <w:tcW w:w="782" w:type="dxa"/>
          </w:tcPr>
          <w:p w14:paraId="261114F3" w14:textId="3A5E6404" w:rsidR="00AE2F8A" w:rsidRDefault="00AE2F8A" w:rsidP="00AE2F8A">
            <w:pPr>
              <w:spacing w:before="80" w:after="80" w:line="276" w:lineRule="auto"/>
              <w:ind w:left="0" w:firstLine="0"/>
              <w:rPr>
                <w:szCs w:val="20"/>
              </w:rPr>
            </w:pPr>
            <w:r>
              <w:rPr>
                <w:b/>
                <w:bCs/>
                <w:color w:val="1A1A1A"/>
                <w:sz w:val="18"/>
                <w:szCs w:val="18"/>
              </w:rPr>
              <w:t>91.4 / 93.2</w:t>
            </w:r>
          </w:p>
        </w:tc>
        <w:tc>
          <w:tcPr>
            <w:tcW w:w="896" w:type="dxa"/>
          </w:tcPr>
          <w:p w14:paraId="785D73E2" w14:textId="522FCFAF" w:rsidR="00AE2F8A" w:rsidRDefault="00AE2F8A" w:rsidP="00AE2F8A">
            <w:pPr>
              <w:spacing w:before="80" w:after="80" w:line="276" w:lineRule="auto"/>
              <w:ind w:left="0" w:firstLine="0"/>
              <w:rPr>
                <w:szCs w:val="20"/>
              </w:rPr>
            </w:pPr>
            <w:r>
              <w:rPr>
                <w:b/>
                <w:bCs/>
                <w:color w:val="1A1A1A"/>
                <w:sz w:val="18"/>
                <w:szCs w:val="18"/>
              </w:rPr>
              <w:t>12.3</w:t>
            </w:r>
          </w:p>
        </w:tc>
        <w:tc>
          <w:tcPr>
            <w:tcW w:w="827" w:type="dxa"/>
          </w:tcPr>
          <w:p w14:paraId="34339B7D" w14:textId="0F3F4B70" w:rsidR="00AE2F8A" w:rsidRDefault="00AE2F8A" w:rsidP="00AE2F8A">
            <w:pPr>
              <w:spacing w:before="80" w:after="80" w:line="276" w:lineRule="auto"/>
              <w:ind w:left="0" w:firstLine="0"/>
              <w:rPr>
                <w:szCs w:val="20"/>
              </w:rPr>
            </w:pPr>
            <w:r>
              <w:rPr>
                <w:b/>
                <w:bCs/>
                <w:color w:val="1A1A1A"/>
                <w:sz w:val="18"/>
                <w:szCs w:val="18"/>
              </w:rPr>
              <w:t>10.7</w:t>
            </w:r>
          </w:p>
        </w:tc>
        <w:tc>
          <w:tcPr>
            <w:tcW w:w="847" w:type="dxa"/>
          </w:tcPr>
          <w:p w14:paraId="3AE0E3F3" w14:textId="0A3DB985" w:rsidR="00AE2F8A" w:rsidRDefault="00AE2F8A" w:rsidP="00AE2F8A">
            <w:pPr>
              <w:spacing w:before="80" w:after="80" w:line="276" w:lineRule="auto"/>
              <w:ind w:left="0" w:firstLine="0"/>
              <w:rPr>
                <w:szCs w:val="20"/>
              </w:rPr>
            </w:pPr>
            <w:r>
              <w:rPr>
                <w:b/>
                <w:bCs/>
                <w:color w:val="1A1A1A"/>
                <w:sz w:val="18"/>
                <w:szCs w:val="18"/>
              </w:rPr>
              <w:t>0.78</w:t>
            </w:r>
          </w:p>
        </w:tc>
      </w:tr>
    </w:tbl>
    <w:p w14:paraId="36100CB3" w14:textId="77777777" w:rsidR="00BF4258" w:rsidRDefault="00BF4258" w:rsidP="00BF4258">
      <w:pPr>
        <w:spacing w:before="80" w:after="80" w:line="276" w:lineRule="auto"/>
        <w:rPr>
          <w:szCs w:val="20"/>
        </w:rPr>
      </w:pPr>
    </w:p>
    <w:p w14:paraId="44009CB5" w14:textId="77777777" w:rsidR="00AE2F8A" w:rsidRDefault="00AE2F8A" w:rsidP="00AE2F8A">
      <w:pPr>
        <w:pStyle w:val="Heading2"/>
      </w:pPr>
      <w:bookmarkStart w:id="27" w:name="_Toc232441517"/>
      <w:r>
        <w:rPr>
          <w:rFonts w:ascii="Arial" w:eastAsia="Arial" w:hAnsi="Arial" w:cs="Arial"/>
          <w:b/>
          <w:bCs/>
          <w:color w:val="2E4057"/>
          <w:sz w:val="22"/>
          <w:szCs w:val="22"/>
        </w:rPr>
        <w:t>11.4 Carbon Tracking Effectiveness</w:t>
      </w:r>
      <w:bookmarkEnd w:id="27"/>
    </w:p>
    <w:p w14:paraId="2B785FD1" w14:textId="6688A60A" w:rsidR="00AE2F8A" w:rsidRDefault="00AE2F8A" w:rsidP="00AE2F8A">
      <w:pPr>
        <w:spacing w:before="80" w:after="80" w:line="276" w:lineRule="auto"/>
        <w:rPr>
          <w:szCs w:val="20"/>
        </w:rPr>
      </w:pPr>
      <w:r>
        <w:rPr>
          <w:szCs w:val="20"/>
        </w:rPr>
        <w:t xml:space="preserve">To evaluate the </w:t>
      </w:r>
      <w:proofErr w:type="spellStart"/>
      <w:r>
        <w:rPr>
          <w:szCs w:val="20"/>
        </w:rPr>
        <w:t>behavioral</w:t>
      </w:r>
      <w:proofErr w:type="spellEnd"/>
      <w:r>
        <w:rPr>
          <w:szCs w:val="20"/>
        </w:rPr>
        <w:t xml:space="preserve"> impact of </w:t>
      </w:r>
      <w:proofErr w:type="spellStart"/>
      <w:r>
        <w:rPr>
          <w:szCs w:val="20"/>
        </w:rPr>
        <w:t>CarbonLens</w:t>
      </w:r>
      <w:proofErr w:type="spellEnd"/>
      <w:r>
        <w:rPr>
          <w:szCs w:val="20"/>
        </w:rPr>
        <w:t xml:space="preserve">, participants were asked to estimate their daily carbon emissions before and after a two-week engagement period with the platform. The mean absolute estimation error against DEFRA reference values decreased from 47.3 kg </w:t>
      </w:r>
      <w:proofErr w:type="spellStart"/>
      <w:r>
        <w:rPr>
          <w:szCs w:val="20"/>
        </w:rPr>
        <w:t>CO₂e</w:t>
      </w:r>
      <w:proofErr w:type="spellEnd"/>
      <w:r>
        <w:rPr>
          <w:szCs w:val="20"/>
        </w:rPr>
        <w:t xml:space="preserve"> per day (before) to 8.2 kg </w:t>
      </w:r>
      <w:proofErr w:type="spellStart"/>
      <w:r>
        <w:rPr>
          <w:szCs w:val="20"/>
        </w:rPr>
        <w:t>CO₂e</w:t>
      </w:r>
      <w:proofErr w:type="spellEnd"/>
      <w:r>
        <w:rPr>
          <w:szCs w:val="20"/>
        </w:rPr>
        <w:t xml:space="preserve"> per day (after), representing an 82.7% improvement in individual carbon literacy. Furthermore, participants who engaged with the recommendation module for at least five sessions reported an average self-reported </w:t>
      </w:r>
      <w:proofErr w:type="spellStart"/>
      <w:r>
        <w:rPr>
          <w:szCs w:val="20"/>
        </w:rPr>
        <w:t>behavioral</w:t>
      </w:r>
      <w:proofErr w:type="spellEnd"/>
      <w:r>
        <w:rPr>
          <w:szCs w:val="20"/>
        </w:rPr>
        <w:t xml:space="preserve"> change score of 3.8/5.0, with 71% </w:t>
      </w:r>
      <w:r>
        <w:rPr>
          <w:szCs w:val="20"/>
        </w:rPr>
        <w:t xml:space="preserve">indicating adoption of at least one recommended </w:t>
      </w:r>
      <w:proofErr w:type="spellStart"/>
      <w:r>
        <w:rPr>
          <w:szCs w:val="20"/>
        </w:rPr>
        <w:t>behavioral</w:t>
      </w:r>
      <w:proofErr w:type="spellEnd"/>
      <w:r>
        <w:rPr>
          <w:szCs w:val="20"/>
        </w:rPr>
        <w:t xml:space="preserve"> modification within the engagement period</w:t>
      </w:r>
    </w:p>
    <w:p w14:paraId="7CA67554" w14:textId="77777777" w:rsidR="00AE2F8A" w:rsidRDefault="00AE2F8A" w:rsidP="00AE2F8A">
      <w:pPr>
        <w:pStyle w:val="Heading1"/>
      </w:pPr>
      <w:bookmarkStart w:id="28" w:name="_Toc232441518"/>
      <w:r>
        <w:rPr>
          <w:rFonts w:ascii="Arial" w:eastAsia="Arial" w:hAnsi="Arial" w:cs="Arial"/>
          <w:b/>
          <w:bCs/>
          <w:color w:val="2E4057"/>
          <w:sz w:val="24"/>
          <w:szCs w:val="24"/>
        </w:rPr>
        <w:t>12. ADVANTAGES</w:t>
      </w:r>
      <w:bookmarkEnd w:id="28"/>
    </w:p>
    <w:p w14:paraId="18F024C2" w14:textId="77777777" w:rsidR="00AE2F8A" w:rsidRDefault="00AE2F8A" w:rsidP="00AE2F8A">
      <w:pPr>
        <w:pStyle w:val="Heading2"/>
      </w:pPr>
      <w:bookmarkStart w:id="29" w:name="_Toc232441519"/>
      <w:r>
        <w:rPr>
          <w:rFonts w:ascii="Arial" w:eastAsia="Arial" w:hAnsi="Arial" w:cs="Arial"/>
          <w:b/>
          <w:bCs/>
          <w:color w:val="2E4057"/>
          <w:sz w:val="22"/>
          <w:szCs w:val="22"/>
        </w:rPr>
        <w:t>12.1 Technical Advantages</w:t>
      </w:r>
      <w:bookmarkEnd w:id="29"/>
    </w:p>
    <w:p w14:paraId="4FBEE916" w14:textId="77777777" w:rsidR="00AE2F8A" w:rsidRDefault="00AE2F8A" w:rsidP="00AE2F8A">
      <w:pPr>
        <w:pStyle w:val="ListParagraph"/>
        <w:numPr>
          <w:ilvl w:val="0"/>
          <w:numId w:val="4"/>
        </w:numPr>
        <w:spacing w:before="60" w:after="60" w:line="240" w:lineRule="auto"/>
        <w:contextualSpacing w:val="0"/>
        <w:jc w:val="left"/>
      </w:pPr>
      <w:r>
        <w:rPr>
          <w:szCs w:val="20"/>
        </w:rPr>
        <w:t xml:space="preserve">Natural Language Accessibility: By accepting free-form text input, </w:t>
      </w:r>
      <w:proofErr w:type="spellStart"/>
      <w:r>
        <w:rPr>
          <w:szCs w:val="20"/>
        </w:rPr>
        <w:t>CarbonLens</w:t>
      </w:r>
      <w:proofErr w:type="spellEnd"/>
      <w:r>
        <w:rPr>
          <w:szCs w:val="20"/>
        </w:rPr>
        <w:t xml:space="preserve"> eliminates the cognitive barrier of categorical form navigation, enabling faster and more frequent activity logging.</w:t>
      </w:r>
    </w:p>
    <w:p w14:paraId="6A00DD30" w14:textId="77777777" w:rsidR="00AE2F8A" w:rsidRDefault="00AE2F8A" w:rsidP="00AE2F8A">
      <w:pPr>
        <w:pStyle w:val="ListParagraph"/>
        <w:numPr>
          <w:ilvl w:val="0"/>
          <w:numId w:val="4"/>
        </w:numPr>
        <w:spacing w:before="60" w:after="60" w:line="240" w:lineRule="auto"/>
        <w:contextualSpacing w:val="0"/>
        <w:jc w:val="left"/>
      </w:pPr>
      <w:r>
        <w:rPr>
          <w:szCs w:val="20"/>
        </w:rPr>
        <w:t xml:space="preserve">Local LLM Deployment: </w:t>
      </w:r>
      <w:proofErr w:type="spellStart"/>
      <w:r>
        <w:rPr>
          <w:szCs w:val="20"/>
        </w:rPr>
        <w:t>Ollama</w:t>
      </w:r>
      <w:proofErr w:type="spellEnd"/>
      <w:r>
        <w:rPr>
          <w:szCs w:val="20"/>
        </w:rPr>
        <w:t>-based local inference eliminates dependency on external API services, ensuring data privacy, zero per-query cost, and operational continuity in offline or restricted network environments.</w:t>
      </w:r>
    </w:p>
    <w:p w14:paraId="3E325F5E" w14:textId="77777777" w:rsidR="00AE2F8A" w:rsidRDefault="00AE2F8A" w:rsidP="00AE2F8A">
      <w:pPr>
        <w:pStyle w:val="ListParagraph"/>
        <w:numPr>
          <w:ilvl w:val="0"/>
          <w:numId w:val="4"/>
        </w:numPr>
        <w:spacing w:before="60" w:after="60" w:line="240" w:lineRule="auto"/>
        <w:contextualSpacing w:val="0"/>
        <w:jc w:val="left"/>
      </w:pPr>
      <w:r>
        <w:rPr>
          <w:szCs w:val="20"/>
        </w:rPr>
        <w:t xml:space="preserve">Model Flexibility: The AI integration layer supports any </w:t>
      </w:r>
      <w:proofErr w:type="spellStart"/>
      <w:r>
        <w:rPr>
          <w:szCs w:val="20"/>
        </w:rPr>
        <w:t>Ollama</w:t>
      </w:r>
      <w:proofErr w:type="spellEnd"/>
      <w:r>
        <w:rPr>
          <w:szCs w:val="20"/>
        </w:rPr>
        <w:t>-compatible model, enabling seamless substitution of Llama2 with Mistral, Gemma, or future open-weight models as superior options emerge.</w:t>
      </w:r>
    </w:p>
    <w:p w14:paraId="2D816653" w14:textId="77777777" w:rsidR="00AE2F8A" w:rsidRDefault="00AE2F8A" w:rsidP="00AE2F8A">
      <w:pPr>
        <w:pStyle w:val="ListParagraph"/>
        <w:numPr>
          <w:ilvl w:val="0"/>
          <w:numId w:val="4"/>
        </w:numPr>
        <w:spacing w:before="60" w:after="60" w:line="240" w:lineRule="auto"/>
        <w:contextualSpacing w:val="0"/>
        <w:jc w:val="left"/>
      </w:pPr>
      <w:r>
        <w:rPr>
          <w:szCs w:val="20"/>
        </w:rPr>
        <w:t>Scalable Full-Stack Architecture: The decoupled frontend-backend architecture supports horizontal scaling of the Node.js application layer independently of the AI inference component.</w:t>
      </w:r>
    </w:p>
    <w:p w14:paraId="583F5B70" w14:textId="77777777" w:rsidR="00AE2F8A" w:rsidRPr="00AE2F8A" w:rsidRDefault="00AE2F8A" w:rsidP="00AE2F8A">
      <w:pPr>
        <w:pStyle w:val="ListParagraph"/>
        <w:numPr>
          <w:ilvl w:val="0"/>
          <w:numId w:val="4"/>
        </w:numPr>
        <w:spacing w:before="60" w:after="60" w:line="240" w:lineRule="auto"/>
        <w:contextualSpacing w:val="0"/>
        <w:jc w:val="left"/>
      </w:pPr>
      <w:r>
        <w:rPr>
          <w:szCs w:val="20"/>
        </w:rPr>
        <w:t>Confidence-Weighted Computation: The hybrid emission calculation approach, blending LLM estimates with database reference values based on confidence scores, provides more reliable results than either approach alone.</w:t>
      </w:r>
    </w:p>
    <w:p w14:paraId="1C593EF5" w14:textId="4BF3192A" w:rsidR="00AE2F8A" w:rsidRDefault="00AE2F8A" w:rsidP="00AE2F8A">
      <w:pPr>
        <w:pStyle w:val="Heading2"/>
        <w:spacing w:before="80"/>
      </w:pPr>
      <w:bookmarkStart w:id="30" w:name="_Toc232441520"/>
      <w:r>
        <w:rPr>
          <w:rFonts w:ascii="Arial" w:eastAsia="Arial" w:hAnsi="Arial" w:cs="Arial"/>
          <w:b/>
          <w:bCs/>
          <w:color w:val="2E4057"/>
          <w:sz w:val="22"/>
          <w:szCs w:val="22"/>
        </w:rPr>
        <w:t>12.2 Environmental and Social Advantages</w:t>
      </w:r>
      <w:bookmarkEnd w:id="30"/>
    </w:p>
    <w:p w14:paraId="26D0FC65" w14:textId="77777777" w:rsidR="00AE2F8A" w:rsidRDefault="00AE2F8A" w:rsidP="00AE2F8A">
      <w:pPr>
        <w:pStyle w:val="ListParagraph"/>
        <w:numPr>
          <w:ilvl w:val="0"/>
          <w:numId w:val="5"/>
        </w:numPr>
        <w:spacing w:before="60" w:after="60" w:line="240" w:lineRule="auto"/>
        <w:contextualSpacing w:val="0"/>
        <w:jc w:val="left"/>
      </w:pPr>
      <w:proofErr w:type="spellStart"/>
      <w:r>
        <w:rPr>
          <w:szCs w:val="20"/>
        </w:rPr>
        <w:t>Behavioral</w:t>
      </w:r>
      <w:proofErr w:type="spellEnd"/>
      <w:r>
        <w:rPr>
          <w:szCs w:val="20"/>
        </w:rPr>
        <w:t xml:space="preserve"> Change Facilitation: Personalized, context-aware recommendations with quantified reduction potential translate abstract carbon knowledge into concrete, actionable </w:t>
      </w:r>
      <w:proofErr w:type="spellStart"/>
      <w:r>
        <w:rPr>
          <w:szCs w:val="20"/>
        </w:rPr>
        <w:t>behavioral</w:t>
      </w:r>
      <w:proofErr w:type="spellEnd"/>
      <w:r>
        <w:rPr>
          <w:szCs w:val="20"/>
        </w:rPr>
        <w:t xml:space="preserve"> modifications.</w:t>
      </w:r>
    </w:p>
    <w:p w14:paraId="3A6F7BCB" w14:textId="77777777" w:rsidR="00AE2F8A" w:rsidRDefault="00AE2F8A" w:rsidP="00AE2F8A">
      <w:pPr>
        <w:pStyle w:val="ListParagraph"/>
        <w:numPr>
          <w:ilvl w:val="0"/>
          <w:numId w:val="5"/>
        </w:numPr>
        <w:spacing w:before="60" w:after="60" w:line="240" w:lineRule="auto"/>
        <w:contextualSpacing w:val="0"/>
        <w:jc w:val="left"/>
      </w:pPr>
      <w:r>
        <w:rPr>
          <w:szCs w:val="20"/>
        </w:rPr>
        <w:t>Carbon Literacy Enhancement: Longitudinal engagement with the platform demonstrably improves users' understanding of their emission contributions, fostering a more informed approach to sustainability decisions.</w:t>
      </w:r>
    </w:p>
    <w:p w14:paraId="46CC07EF" w14:textId="61ECF110" w:rsidR="00AE2F8A" w:rsidRDefault="00AE2F8A" w:rsidP="00AE2F8A">
      <w:pPr>
        <w:pStyle w:val="ListParagraph"/>
        <w:spacing w:before="60" w:after="60" w:line="240" w:lineRule="auto"/>
        <w:ind w:firstLine="0"/>
        <w:contextualSpacing w:val="0"/>
        <w:jc w:val="left"/>
        <w:rPr>
          <w:szCs w:val="20"/>
        </w:rPr>
      </w:pPr>
      <w:r>
        <w:rPr>
          <w:szCs w:val="20"/>
        </w:rPr>
        <w:t>Data-Driven Sustainability: The analytical dashboard infrastructure enables evidence-based personal sustainability planning, replacing intuition-based estimates with quantified emission tracking</w:t>
      </w:r>
    </w:p>
    <w:p w14:paraId="368410DD" w14:textId="77777777" w:rsidR="00AE2F8A" w:rsidRDefault="00AE2F8A" w:rsidP="00AE2F8A">
      <w:pPr>
        <w:pStyle w:val="ListParagraph"/>
        <w:spacing w:before="60" w:after="60" w:line="240" w:lineRule="auto"/>
        <w:ind w:firstLine="0"/>
        <w:contextualSpacing w:val="0"/>
        <w:jc w:val="left"/>
        <w:rPr>
          <w:szCs w:val="20"/>
        </w:rPr>
      </w:pPr>
    </w:p>
    <w:p w14:paraId="48C4FB78" w14:textId="77777777" w:rsidR="00AE2F8A" w:rsidRDefault="00AE2F8A" w:rsidP="00AE2F8A">
      <w:pPr>
        <w:pStyle w:val="Heading1"/>
        <w:spacing w:before="120"/>
      </w:pPr>
      <w:bookmarkStart w:id="31" w:name="_Toc232441526"/>
      <w:r>
        <w:rPr>
          <w:rFonts w:ascii="Arial" w:eastAsia="Arial" w:hAnsi="Arial" w:cs="Arial"/>
          <w:b/>
          <w:bCs/>
          <w:color w:val="2E4057"/>
          <w:sz w:val="24"/>
          <w:szCs w:val="24"/>
        </w:rPr>
        <w:t>14. FUTURE SCOPE</w:t>
      </w:r>
      <w:bookmarkEnd w:id="31"/>
    </w:p>
    <w:p w14:paraId="47F00B07" w14:textId="77777777" w:rsidR="00AE2F8A" w:rsidRDefault="00AE2F8A" w:rsidP="00AE2F8A">
      <w:pPr>
        <w:spacing w:before="80" w:after="80" w:line="276" w:lineRule="auto"/>
      </w:pPr>
      <w:r>
        <w:rPr>
          <w:szCs w:val="20"/>
        </w:rPr>
        <w:t xml:space="preserve">The architecture and methodology established in </w:t>
      </w:r>
      <w:proofErr w:type="spellStart"/>
      <w:r>
        <w:rPr>
          <w:szCs w:val="20"/>
        </w:rPr>
        <w:t>CarbonLens</w:t>
      </w:r>
      <w:proofErr w:type="spellEnd"/>
      <w:r>
        <w:rPr>
          <w:szCs w:val="20"/>
        </w:rPr>
        <w:t xml:space="preserve"> provide a robust foundation for several significant extensions that will be pursued in future research iterations:</w:t>
      </w:r>
    </w:p>
    <w:p w14:paraId="5EE3DC9D" w14:textId="77777777" w:rsidR="00AE2F8A" w:rsidRDefault="00AE2F8A" w:rsidP="00AE2F8A">
      <w:pPr>
        <w:spacing w:before="60" w:after="60"/>
      </w:pPr>
    </w:p>
    <w:p w14:paraId="66936167" w14:textId="7E951E10" w:rsidR="00AE2F8A" w:rsidRDefault="00540DC0" w:rsidP="00540DC0">
      <w:pPr>
        <w:pStyle w:val="Heading2"/>
        <w:spacing w:before="120"/>
      </w:pPr>
      <w:bookmarkStart w:id="32" w:name="_Toc232441527"/>
      <w:r>
        <w:rPr>
          <w:rFonts w:ascii="Arial" w:eastAsia="Arial" w:hAnsi="Arial" w:cs="Arial"/>
          <w:b/>
          <w:bCs/>
          <w:color w:val="2E4057"/>
          <w:sz w:val="22"/>
          <w:szCs w:val="22"/>
        </w:rPr>
        <w:lastRenderedPageBreak/>
        <w:t xml:space="preserve">  </w:t>
      </w:r>
      <w:r w:rsidR="00AE2F8A">
        <w:rPr>
          <w:rFonts w:ascii="Arial" w:eastAsia="Arial" w:hAnsi="Arial" w:cs="Arial"/>
          <w:b/>
          <w:bCs/>
          <w:color w:val="2E4057"/>
          <w:sz w:val="22"/>
          <w:szCs w:val="22"/>
        </w:rPr>
        <w:t>14.1 Mobile Application Development</w:t>
      </w:r>
      <w:bookmarkEnd w:id="32"/>
    </w:p>
    <w:p w14:paraId="3F0C9B9D" w14:textId="77777777" w:rsidR="00AE2F8A" w:rsidRDefault="00AE2F8A" w:rsidP="00AE2F8A">
      <w:pPr>
        <w:spacing w:before="80" w:after="80" w:line="276" w:lineRule="auto"/>
      </w:pPr>
      <w:r>
        <w:rPr>
          <w:szCs w:val="20"/>
        </w:rPr>
        <w:t xml:space="preserve">A React Native mobile application implementing the complete </w:t>
      </w:r>
      <w:proofErr w:type="spellStart"/>
      <w:r>
        <w:rPr>
          <w:szCs w:val="20"/>
        </w:rPr>
        <w:t>CarbonLens</w:t>
      </w:r>
      <w:proofErr w:type="spellEnd"/>
      <w:r>
        <w:rPr>
          <w:szCs w:val="20"/>
        </w:rPr>
        <w:t xml:space="preserve"> feature set with native camera integration for receipt scanning (enabling AI-powered shopping footprint extraction), GPS-based transportation mode detection, and push notification-driven </w:t>
      </w:r>
      <w:proofErr w:type="spellStart"/>
      <w:r>
        <w:rPr>
          <w:szCs w:val="20"/>
        </w:rPr>
        <w:t>behavioral</w:t>
      </w:r>
      <w:proofErr w:type="spellEnd"/>
      <w:r>
        <w:rPr>
          <w:szCs w:val="20"/>
        </w:rPr>
        <w:t xml:space="preserve"> nudges represents the highest-priority extension. Mobile deployment substantially expands the temporal coverage of activity logging by enabling real-time capture at the moment of activity.</w:t>
      </w:r>
    </w:p>
    <w:p w14:paraId="61BA9ECA" w14:textId="77777777" w:rsidR="00AE2F8A" w:rsidRDefault="00AE2F8A" w:rsidP="00AE2F8A">
      <w:pPr>
        <w:spacing w:before="60" w:after="60"/>
      </w:pPr>
    </w:p>
    <w:p w14:paraId="4F6A9388" w14:textId="36BB8986" w:rsidR="00AE2F8A" w:rsidRDefault="00540DC0" w:rsidP="00540DC0">
      <w:pPr>
        <w:pStyle w:val="Heading2"/>
        <w:spacing w:before="0"/>
      </w:pPr>
      <w:bookmarkStart w:id="33" w:name="_Toc232441528"/>
      <w:r>
        <w:rPr>
          <w:rFonts w:ascii="Arial" w:eastAsia="Arial" w:hAnsi="Arial" w:cs="Arial"/>
          <w:b/>
          <w:bCs/>
          <w:color w:val="2E4057"/>
          <w:sz w:val="22"/>
          <w:szCs w:val="22"/>
        </w:rPr>
        <w:t xml:space="preserve">  </w:t>
      </w:r>
      <w:r w:rsidR="00AE2F8A">
        <w:rPr>
          <w:rFonts w:ascii="Arial" w:eastAsia="Arial" w:hAnsi="Arial" w:cs="Arial"/>
          <w:b/>
          <w:bCs/>
          <w:color w:val="2E4057"/>
          <w:sz w:val="22"/>
          <w:szCs w:val="22"/>
        </w:rPr>
        <w:t>14.2 IoT and Smart Meter Integration</w:t>
      </w:r>
      <w:bookmarkEnd w:id="33"/>
    </w:p>
    <w:p w14:paraId="46AAB4AD" w14:textId="77777777" w:rsidR="00AE2F8A" w:rsidRDefault="00AE2F8A" w:rsidP="00AE2F8A">
      <w:pPr>
        <w:spacing w:before="80" w:after="80" w:line="276" w:lineRule="auto"/>
      </w:pPr>
      <w:r>
        <w:rPr>
          <w:szCs w:val="20"/>
        </w:rPr>
        <w:t>Integration with smart home platforms (Google Home API, Home Assistant) and utility company smart meter APIs (via the Green Button Alliance standard) would enable automatic ingestion of household electricity, gas, and water consumption data, eliminating the need for user-reported energy activities and substantially increasing emission estimation accuracy for the home energy category.</w:t>
      </w:r>
    </w:p>
    <w:p w14:paraId="1DE23CBF" w14:textId="77777777" w:rsidR="00AE2F8A" w:rsidRDefault="00AE2F8A" w:rsidP="00AE2F8A">
      <w:pPr>
        <w:spacing w:before="60" w:after="60"/>
      </w:pPr>
    </w:p>
    <w:p w14:paraId="0B413472" w14:textId="7B5B9FD8" w:rsidR="00AE2F8A" w:rsidRDefault="00AE2F8A" w:rsidP="00540DC0">
      <w:pPr>
        <w:pStyle w:val="Heading2"/>
        <w:spacing w:before="0"/>
      </w:pPr>
      <w:bookmarkStart w:id="34" w:name="_Toc232441529"/>
      <w:r>
        <w:rPr>
          <w:rFonts w:ascii="Arial" w:eastAsia="Arial" w:hAnsi="Arial" w:cs="Arial"/>
          <w:b/>
          <w:bCs/>
          <w:color w:val="2E4057"/>
          <w:sz w:val="22"/>
          <w:szCs w:val="22"/>
        </w:rPr>
        <w:t>14.3 Predictive Analytics and Goal-</w:t>
      </w:r>
      <w:r w:rsidR="00540DC0">
        <w:rPr>
          <w:rFonts w:ascii="Arial" w:eastAsia="Arial" w:hAnsi="Arial" w:cs="Arial"/>
          <w:b/>
          <w:bCs/>
          <w:color w:val="2E4057"/>
          <w:sz w:val="22"/>
          <w:szCs w:val="22"/>
        </w:rPr>
        <w:t xml:space="preserve"> </w:t>
      </w:r>
      <w:proofErr w:type="spellStart"/>
      <w:r>
        <w:rPr>
          <w:rFonts w:ascii="Arial" w:eastAsia="Arial" w:hAnsi="Arial" w:cs="Arial"/>
          <w:b/>
          <w:bCs/>
          <w:color w:val="2E4057"/>
          <w:sz w:val="22"/>
          <w:szCs w:val="22"/>
        </w:rPr>
        <w:t>Seting</w:t>
      </w:r>
      <w:bookmarkEnd w:id="34"/>
      <w:proofErr w:type="spellEnd"/>
    </w:p>
    <w:p w14:paraId="5F85B0B6" w14:textId="77777777" w:rsidR="00AE2F8A" w:rsidRDefault="00AE2F8A" w:rsidP="00AE2F8A">
      <w:pPr>
        <w:spacing w:before="80" w:after="80" w:line="276" w:lineRule="auto"/>
      </w:pPr>
      <w:r>
        <w:rPr>
          <w:szCs w:val="20"/>
        </w:rPr>
        <w:t>A time-series prediction module employing LSTM or Temporal Fusion Transformer architectures could project future emission trajectories based on historical patterns, enabling proactive goal-setting and intervention scheduling. Integration with national carbon budget allocations per capita would allow users to benchmark their trajectories against Paris Agreement-aligned pathways.</w:t>
      </w:r>
    </w:p>
    <w:p w14:paraId="26D911E8" w14:textId="77777777" w:rsidR="00AE2F8A" w:rsidRDefault="00AE2F8A" w:rsidP="00AE2F8A">
      <w:pPr>
        <w:spacing w:before="60" w:after="60"/>
      </w:pPr>
    </w:p>
    <w:p w14:paraId="7090B850" w14:textId="77777777" w:rsidR="00AE2F8A" w:rsidRDefault="00AE2F8A" w:rsidP="00540DC0">
      <w:pPr>
        <w:pStyle w:val="Heading2"/>
        <w:spacing w:before="0"/>
      </w:pPr>
      <w:bookmarkStart w:id="35" w:name="_Toc232441530"/>
      <w:r>
        <w:rPr>
          <w:rFonts w:ascii="Arial" w:eastAsia="Arial" w:hAnsi="Arial" w:cs="Arial"/>
          <w:b/>
          <w:bCs/>
          <w:color w:val="2E4057"/>
          <w:sz w:val="22"/>
          <w:szCs w:val="22"/>
        </w:rPr>
        <w:t>14.4 Blockchain-Based Carbon Credits</w:t>
      </w:r>
      <w:bookmarkEnd w:id="35"/>
    </w:p>
    <w:p w14:paraId="7AFBB664" w14:textId="77777777" w:rsidR="00AE2F8A" w:rsidRDefault="00AE2F8A" w:rsidP="00AE2F8A">
      <w:pPr>
        <w:spacing w:before="80" w:after="80" w:line="276" w:lineRule="auto"/>
      </w:pPr>
      <w:r>
        <w:rPr>
          <w:szCs w:val="20"/>
        </w:rPr>
        <w:t xml:space="preserve">A blockchain integration layer enabling verified carbon offset credit tokenization would allow users who achieve sustained emission reductions to claim verifiable digital carbon credits tradeable on voluntary carbon markets. Smart contract automation of credit verification and issuance, based on the tamper-evident emission records maintained by </w:t>
      </w:r>
      <w:proofErr w:type="spellStart"/>
      <w:r>
        <w:rPr>
          <w:szCs w:val="20"/>
        </w:rPr>
        <w:t>CarbonLens</w:t>
      </w:r>
      <w:proofErr w:type="spellEnd"/>
      <w:r>
        <w:rPr>
          <w:szCs w:val="20"/>
        </w:rPr>
        <w:t>, represents a novel application of distributed ledger technology to personal carbon accounting.</w:t>
      </w:r>
    </w:p>
    <w:p w14:paraId="259118BC" w14:textId="77777777" w:rsidR="00AE2F8A" w:rsidRDefault="00AE2F8A" w:rsidP="00AE2F8A">
      <w:pPr>
        <w:spacing w:before="60" w:after="60"/>
      </w:pPr>
    </w:p>
    <w:p w14:paraId="4A6EA842" w14:textId="77777777" w:rsidR="00AE2F8A" w:rsidRDefault="00AE2F8A" w:rsidP="00AE2F8A">
      <w:pPr>
        <w:pStyle w:val="Heading2"/>
      </w:pPr>
      <w:bookmarkStart w:id="36" w:name="_Toc232441531"/>
      <w:r>
        <w:rPr>
          <w:rFonts w:ascii="Arial" w:eastAsia="Arial" w:hAnsi="Arial" w:cs="Arial"/>
          <w:b/>
          <w:bCs/>
          <w:color w:val="2E4057"/>
          <w:sz w:val="22"/>
          <w:szCs w:val="22"/>
        </w:rPr>
        <w:t>14.5 Fine-Tuned Domain-Specific LLM</w:t>
      </w:r>
      <w:bookmarkEnd w:id="36"/>
    </w:p>
    <w:p w14:paraId="1239BC27" w14:textId="77777777" w:rsidR="00AE2F8A" w:rsidRDefault="00AE2F8A" w:rsidP="00AE2F8A">
      <w:pPr>
        <w:spacing w:before="80" w:after="80" w:line="276" w:lineRule="auto"/>
      </w:pPr>
      <w:r>
        <w:rPr>
          <w:szCs w:val="20"/>
        </w:rPr>
        <w:t xml:space="preserve">Domain adaptation of an open-weight base model (Llama3 or Mistral-Next) through supervised fine-tuning on a carbon footprint estimation dataset would substantially improve emission extraction accuracy, particularly for edge-case activities. Federated fine-tuning across </w:t>
      </w:r>
      <w:proofErr w:type="spellStart"/>
      <w:r>
        <w:rPr>
          <w:szCs w:val="20"/>
        </w:rPr>
        <w:t>CarbonLens</w:t>
      </w:r>
      <w:proofErr w:type="spellEnd"/>
      <w:r>
        <w:rPr>
          <w:szCs w:val="20"/>
        </w:rPr>
        <w:t xml:space="preserve"> user interactions, with differential privacy guarantees, would enable continual model improvement without centralizing sensitive activity data.</w:t>
      </w:r>
    </w:p>
    <w:p w14:paraId="4BF3E548" w14:textId="77777777" w:rsidR="00AE2F8A" w:rsidRDefault="00AE2F8A" w:rsidP="00AE2F8A">
      <w:pPr>
        <w:spacing w:before="60" w:after="60"/>
      </w:pPr>
    </w:p>
    <w:p w14:paraId="66AFCF13" w14:textId="480E39EB" w:rsidR="00AE2F8A" w:rsidRDefault="00540DC0" w:rsidP="00AE2F8A">
      <w:pPr>
        <w:pStyle w:val="Heading2"/>
      </w:pPr>
      <w:bookmarkStart w:id="37" w:name="_Toc232441532"/>
      <w:r>
        <w:rPr>
          <w:rFonts w:ascii="Arial" w:eastAsia="Arial" w:hAnsi="Arial" w:cs="Arial"/>
          <w:b/>
          <w:bCs/>
          <w:color w:val="2E4057"/>
          <w:sz w:val="22"/>
          <w:szCs w:val="22"/>
        </w:rPr>
        <w:t xml:space="preserve">    </w:t>
      </w:r>
      <w:r w:rsidR="00AE2F8A">
        <w:rPr>
          <w:rFonts w:ascii="Arial" w:eastAsia="Arial" w:hAnsi="Arial" w:cs="Arial"/>
          <w:b/>
          <w:bCs/>
          <w:color w:val="2E4057"/>
          <w:sz w:val="22"/>
          <w:szCs w:val="22"/>
        </w:rPr>
        <w:t>14.6 Community and Social Features</w:t>
      </w:r>
      <w:bookmarkEnd w:id="37"/>
    </w:p>
    <w:p w14:paraId="070793FD" w14:textId="3EF9E10D" w:rsidR="00AE2F8A" w:rsidRDefault="00AE2F8A" w:rsidP="00540DC0">
      <w:r>
        <w:t xml:space="preserve">Multi-user community features, including anonymized peer comparison, team-based emission reduction challenges, and community carbon leaderboards, would leverage social norms and competitive motivation as additional </w:t>
      </w:r>
      <w:proofErr w:type="spellStart"/>
      <w:r>
        <w:t>behavioral</w:t>
      </w:r>
      <w:proofErr w:type="spellEnd"/>
      <w:r>
        <w:t xml:space="preserve"> change levers, building upon established research demonstrating the efficacy of social comparison in sustainability context</w:t>
      </w:r>
      <w:r w:rsidR="00540DC0">
        <w:t xml:space="preserve"> </w:t>
      </w:r>
    </w:p>
    <w:p w14:paraId="6B30AC7A" w14:textId="77777777" w:rsidR="00540DC0" w:rsidRDefault="00540DC0" w:rsidP="00540DC0"/>
    <w:p w14:paraId="0D94686F" w14:textId="77777777" w:rsidR="00540DC0" w:rsidRDefault="00540DC0" w:rsidP="00540DC0">
      <w:pPr>
        <w:pStyle w:val="Heading1"/>
      </w:pPr>
      <w:bookmarkStart w:id="38" w:name="_Toc232441533"/>
      <w:r>
        <w:rPr>
          <w:rFonts w:ascii="Arial" w:eastAsia="Arial" w:hAnsi="Arial" w:cs="Arial"/>
          <w:b/>
          <w:bCs/>
          <w:color w:val="2E4057"/>
          <w:sz w:val="24"/>
          <w:szCs w:val="24"/>
        </w:rPr>
        <w:t>15. CONCLUSION</w:t>
      </w:r>
      <w:bookmarkEnd w:id="38"/>
    </w:p>
    <w:p w14:paraId="1D958620" w14:textId="25CA3FE1" w:rsidR="00540DC0" w:rsidRDefault="00540DC0" w:rsidP="00540DC0">
      <w:r>
        <w:rPr>
          <w:szCs w:val="20"/>
        </w:rPr>
        <w:t xml:space="preserve">This paper has presented </w:t>
      </w:r>
      <w:proofErr w:type="spellStart"/>
      <w:r>
        <w:rPr>
          <w:szCs w:val="20"/>
        </w:rPr>
        <w:t>CarbonLens</w:t>
      </w:r>
      <w:proofErr w:type="spellEnd"/>
      <w:r>
        <w:rPr>
          <w:szCs w:val="20"/>
        </w:rPr>
        <w:t>, a novel full-stack web application that integrates Large Language Models into a personal carbon footprint tracking and sustainability recommendation platform. The research addresses a critical gap in the existing landscape of environmental monitoring tools: the absence of an accessible, intelligent system capable of interpreting natural language activity descriptions, computing quantitative emission scores, and generating personalized sustainability recommendations without requiring specialized user knowledge or complex manual data entry.</w:t>
      </w:r>
      <w:r w:rsidRPr="00540DC0">
        <w:rPr>
          <w:szCs w:val="20"/>
        </w:rPr>
        <w:t xml:space="preserve"> </w:t>
      </w:r>
      <w:r>
        <w:rPr>
          <w:szCs w:val="20"/>
        </w:rPr>
        <w:t xml:space="preserve">The proposed architecture demonstrates the feasibility and efficacy of deploying locally hosted LLMs (Llama2/Mistral via </w:t>
      </w:r>
      <w:proofErr w:type="spellStart"/>
      <w:r>
        <w:rPr>
          <w:szCs w:val="20"/>
        </w:rPr>
        <w:t>Ollama</w:t>
      </w:r>
      <w:proofErr w:type="spellEnd"/>
      <w:r>
        <w:rPr>
          <w:szCs w:val="20"/>
        </w:rPr>
        <w:t xml:space="preserve">) as the analytical core of a sustainability application, achieving 91.4% activity type classification accuracy and 12.3% mean absolute percentage error in emission estimation against DEFRA reference values. System performance metrics confirm sub-2-second AI response times at the 95th percentile, and user satisfaction assessment yields a mean overall score of 4.3/5.0, validating the platform's usability and perceived </w:t>
      </w:r>
      <w:proofErr w:type="spellStart"/>
      <w:r>
        <w:rPr>
          <w:szCs w:val="20"/>
        </w:rPr>
        <w:t>utilityThe</w:t>
      </w:r>
      <w:proofErr w:type="spellEnd"/>
      <w:r>
        <w:rPr>
          <w:szCs w:val="20"/>
        </w:rPr>
        <w:t xml:space="preserve"> key research contributions of this work are threefold. First, a novel LLM-based activity analysis pipeline is proposed and validated, establishing a new paradigm for natural language-driven carbon footprint computation. Second, a confidence-weighted hybrid emission calculation methodology is introduced, combining LLM-estimated and database-reference emission factors to improve reliability across diverse activity types. Third, a complete, deployable full-stack system architecture is presented that integrates the AI pipeline with a persistent, multi-user data platform and interactive analytics infrastructure</w:t>
      </w:r>
      <w:r w:rsidRPr="00540DC0">
        <w:rPr>
          <w:szCs w:val="20"/>
        </w:rPr>
        <w:t xml:space="preserve"> </w:t>
      </w:r>
      <w:proofErr w:type="spellStart"/>
      <w:r>
        <w:rPr>
          <w:szCs w:val="20"/>
        </w:rPr>
        <w:t>CarbonLens</w:t>
      </w:r>
      <w:proofErr w:type="spellEnd"/>
      <w:r>
        <w:rPr>
          <w:szCs w:val="20"/>
        </w:rPr>
        <w:t xml:space="preserve"> represents a meaningful step toward making personal carbon accountability accessible,</w:t>
      </w:r>
      <w:r w:rsidRPr="00540DC0">
        <w:rPr>
          <w:szCs w:val="20"/>
        </w:rPr>
        <w:t xml:space="preserve"> </w:t>
      </w:r>
      <w:r>
        <w:rPr>
          <w:szCs w:val="20"/>
        </w:rPr>
        <w:t xml:space="preserve">engaging, and actionable for non-specialist users. In the broader context of the global response to climate change, tools that translate abstract emission statistics into personally relevant, actionable insights play an essential role in enabling the voluntary </w:t>
      </w:r>
      <w:proofErr w:type="spellStart"/>
      <w:r>
        <w:rPr>
          <w:szCs w:val="20"/>
        </w:rPr>
        <w:t>behavioral</w:t>
      </w:r>
      <w:proofErr w:type="spellEnd"/>
      <w:r>
        <w:rPr>
          <w:szCs w:val="20"/>
        </w:rPr>
        <w:t xml:space="preserve"> change that complements systemic policy interventions. The architectural patterns, algorithmic approaches, and evaluation methodologies established in this research provide a replicable foundation for future work in AI-assisted environmental monitoring, and the open research questions identified — particularly </w:t>
      </w:r>
      <w:r>
        <w:rPr>
          <w:szCs w:val="20"/>
        </w:rPr>
        <w:lastRenderedPageBreak/>
        <w:t>regarding LLM fine-tuning for emission estimation, IoT integration, and blockchain-based carbon credit mechanisms — chart a productive research agenda for the sustainability informatics community</w:t>
      </w:r>
    </w:p>
    <w:p w14:paraId="11773255" w14:textId="0C47490D" w:rsidR="00540DC0" w:rsidRDefault="00540DC0" w:rsidP="00540DC0">
      <w:pPr>
        <w:spacing w:before="80" w:after="80" w:line="276" w:lineRule="auto"/>
      </w:pPr>
    </w:p>
    <w:p w14:paraId="3407588C" w14:textId="77777777" w:rsidR="00540DC0" w:rsidRDefault="00540DC0" w:rsidP="00540DC0">
      <w:pPr>
        <w:pStyle w:val="Heading1"/>
      </w:pPr>
      <w:bookmarkStart w:id="39" w:name="_Toc232441534"/>
      <w:r>
        <w:rPr>
          <w:rFonts w:ascii="Arial" w:eastAsia="Arial" w:hAnsi="Arial" w:cs="Arial"/>
          <w:b/>
          <w:bCs/>
          <w:color w:val="2E4057"/>
          <w:sz w:val="24"/>
          <w:szCs w:val="24"/>
        </w:rPr>
        <w:t>REFERENCES</w:t>
      </w:r>
      <w:bookmarkEnd w:id="39"/>
    </w:p>
    <w:p w14:paraId="18DCC1E9" w14:textId="77777777" w:rsidR="00540DC0" w:rsidRDefault="00540DC0" w:rsidP="00540DC0">
      <w:pPr>
        <w:spacing w:before="60" w:after="60"/>
      </w:pPr>
      <w:r>
        <w:rPr>
          <w:sz w:val="19"/>
          <w:szCs w:val="19"/>
        </w:rPr>
        <w:t xml:space="preserve">[1] IPCC, 'Climate Change 2021: The Physical Science Basis — Contribution of Working Group I to the Sixth Assessment Report of the Intergovernmental Panel on Climate Change,' Cambridge University Press, Cambridge, UK, 2021. </w:t>
      </w:r>
      <w:proofErr w:type="spellStart"/>
      <w:r>
        <w:rPr>
          <w:sz w:val="19"/>
          <w:szCs w:val="19"/>
        </w:rPr>
        <w:t>doi</w:t>
      </w:r>
      <w:proofErr w:type="spellEnd"/>
      <w:r>
        <w:rPr>
          <w:sz w:val="19"/>
          <w:szCs w:val="19"/>
        </w:rPr>
        <w:t>: 10.1017/9781009157896.</w:t>
      </w:r>
    </w:p>
    <w:p w14:paraId="6807D352" w14:textId="77777777" w:rsidR="00540DC0" w:rsidRDefault="00540DC0" w:rsidP="00540DC0">
      <w:pPr>
        <w:spacing w:before="60" w:after="60"/>
      </w:pPr>
      <w:r>
        <w:rPr>
          <w:sz w:val="19"/>
          <w:szCs w:val="19"/>
        </w:rPr>
        <w:t xml:space="preserve">[2] D. Ivanova, K. Stadler, K. Steen-Olsen, R. Wood, G. Vita, A. Tukker, and E. G. </w:t>
      </w:r>
      <w:proofErr w:type="spellStart"/>
      <w:r>
        <w:rPr>
          <w:sz w:val="19"/>
          <w:szCs w:val="19"/>
        </w:rPr>
        <w:t>Hertwich</w:t>
      </w:r>
      <w:proofErr w:type="spellEnd"/>
      <w:r>
        <w:rPr>
          <w:sz w:val="19"/>
          <w:szCs w:val="19"/>
        </w:rPr>
        <w:t xml:space="preserve">, 'Environmental impact assessment of household consumption,' Journal of Industrial Ecology, vol. 20, no. 3, pp. 526–536, June 2016. </w:t>
      </w:r>
      <w:proofErr w:type="spellStart"/>
      <w:r>
        <w:rPr>
          <w:sz w:val="19"/>
          <w:szCs w:val="19"/>
        </w:rPr>
        <w:t>doi</w:t>
      </w:r>
      <w:proofErr w:type="spellEnd"/>
      <w:r>
        <w:rPr>
          <w:sz w:val="19"/>
          <w:szCs w:val="19"/>
        </w:rPr>
        <w:t>: 10.1111/jiec.12371.</w:t>
      </w:r>
    </w:p>
    <w:p w14:paraId="0F42DC2A" w14:textId="77777777" w:rsidR="00540DC0" w:rsidRDefault="00540DC0" w:rsidP="00540DC0">
      <w:pPr>
        <w:spacing w:before="60" w:after="60"/>
      </w:pPr>
      <w:r>
        <w:rPr>
          <w:sz w:val="19"/>
          <w:szCs w:val="19"/>
        </w:rPr>
        <w:t xml:space="preserve">[3] S. Wynes and K. A. Nicholas, 'The climate mitigation gap: Education and government recommendations miss the most effective individual actions,' Environmental Research Letters, vol. 12, no. 7, p. 074024, July 2017. </w:t>
      </w:r>
      <w:proofErr w:type="spellStart"/>
      <w:r>
        <w:rPr>
          <w:sz w:val="19"/>
          <w:szCs w:val="19"/>
        </w:rPr>
        <w:t>doi</w:t>
      </w:r>
      <w:proofErr w:type="spellEnd"/>
      <w:r>
        <w:rPr>
          <w:sz w:val="19"/>
          <w:szCs w:val="19"/>
        </w:rPr>
        <w:t>: 10.1088/1748-9326/aa7541.</w:t>
      </w:r>
    </w:p>
    <w:p w14:paraId="1304F5E7" w14:textId="77777777" w:rsidR="00540DC0" w:rsidRDefault="00540DC0" w:rsidP="00540DC0">
      <w:pPr>
        <w:spacing w:before="60" w:after="60"/>
      </w:pPr>
      <w:r>
        <w:rPr>
          <w:sz w:val="19"/>
          <w:szCs w:val="19"/>
        </w:rPr>
        <w:t xml:space="preserve">[4] H. </w:t>
      </w:r>
      <w:proofErr w:type="spellStart"/>
      <w:r>
        <w:rPr>
          <w:sz w:val="19"/>
          <w:szCs w:val="19"/>
        </w:rPr>
        <w:t>Touvron</w:t>
      </w:r>
      <w:proofErr w:type="spellEnd"/>
      <w:r>
        <w:rPr>
          <w:sz w:val="19"/>
          <w:szCs w:val="19"/>
        </w:rPr>
        <w:t xml:space="preserve">, L. Martin, K. Stone, P. Albert, A. </w:t>
      </w:r>
      <w:proofErr w:type="spellStart"/>
      <w:r>
        <w:rPr>
          <w:sz w:val="19"/>
          <w:szCs w:val="19"/>
        </w:rPr>
        <w:t>Almahairi</w:t>
      </w:r>
      <w:proofErr w:type="spellEnd"/>
      <w:r>
        <w:rPr>
          <w:sz w:val="19"/>
          <w:szCs w:val="19"/>
        </w:rPr>
        <w:t xml:space="preserve">, Y. Babaei, et al., 'Llama 2: Open Foundation and Fine-Tuned Chat Models,' </w:t>
      </w:r>
      <w:proofErr w:type="spellStart"/>
      <w:r>
        <w:rPr>
          <w:sz w:val="19"/>
          <w:szCs w:val="19"/>
        </w:rPr>
        <w:t>arXiv</w:t>
      </w:r>
      <w:proofErr w:type="spellEnd"/>
      <w:r>
        <w:rPr>
          <w:sz w:val="19"/>
          <w:szCs w:val="19"/>
        </w:rPr>
        <w:t xml:space="preserve"> preprint arXiv:2307.09288, 2023.</w:t>
      </w:r>
    </w:p>
    <w:p w14:paraId="405A4CB3" w14:textId="77777777" w:rsidR="00540DC0" w:rsidRDefault="00540DC0" w:rsidP="00540DC0">
      <w:pPr>
        <w:spacing w:before="60" w:after="60"/>
      </w:pPr>
      <w:r>
        <w:rPr>
          <w:sz w:val="19"/>
          <w:szCs w:val="19"/>
        </w:rPr>
        <w:t>[5] U.S. Environmental Protection Agency, 'Household Carbon Footprint Calculator,' EPA Office of Atmospheric Programs, Washington, D.C., 2022. [Online]. Available: https://www.epa.gov/ghgemissions/household-carbon-footprint-calculator.</w:t>
      </w:r>
    </w:p>
    <w:p w14:paraId="633D4831" w14:textId="77777777" w:rsidR="00540DC0" w:rsidRDefault="00540DC0" w:rsidP="00540DC0">
      <w:pPr>
        <w:spacing w:before="60" w:after="60"/>
      </w:pPr>
      <w:r>
        <w:rPr>
          <w:sz w:val="19"/>
          <w:szCs w:val="19"/>
        </w:rPr>
        <w:t xml:space="preserve">[6] J. Kim, S. Park, and H. Choi, 'A Database-Driven Carbon Footprint Monitoring System for Urban Households,' in Proc. IEEE International Conference on Smart Grid and Smart Cities (ICSGSC), Singapore, 2019, pp. 234–241. </w:t>
      </w:r>
      <w:proofErr w:type="spellStart"/>
      <w:r>
        <w:rPr>
          <w:sz w:val="19"/>
          <w:szCs w:val="19"/>
        </w:rPr>
        <w:t>doi</w:t>
      </w:r>
      <w:proofErr w:type="spellEnd"/>
      <w:r>
        <w:rPr>
          <w:sz w:val="19"/>
          <w:szCs w:val="19"/>
        </w:rPr>
        <w:t>: 10.1109/ICSGSC.2019.00051.</w:t>
      </w:r>
    </w:p>
    <w:p w14:paraId="41075F7C" w14:textId="77777777" w:rsidR="00540DC0" w:rsidRDefault="00540DC0" w:rsidP="00540DC0">
      <w:pPr>
        <w:spacing w:before="60" w:after="60"/>
      </w:pPr>
      <w:r>
        <w:rPr>
          <w:sz w:val="19"/>
          <w:szCs w:val="19"/>
        </w:rPr>
        <w:t xml:space="preserve">[7] A. Mankoff, A. Fussell, R. Dey, J. Matthews, and S. </w:t>
      </w:r>
      <w:proofErr w:type="spellStart"/>
      <w:r>
        <w:rPr>
          <w:sz w:val="19"/>
          <w:szCs w:val="19"/>
        </w:rPr>
        <w:t>Carbeck</w:t>
      </w:r>
      <w:proofErr w:type="spellEnd"/>
      <w:r>
        <w:rPr>
          <w:sz w:val="19"/>
          <w:szCs w:val="19"/>
        </w:rPr>
        <w:t>, 'Environmental Sensing and Behavior Change Support in Mobile Carbon Footprint Applications,' in Proc. ACM CHI Conference on Human Factors in Computing Systems, Paris, France, 2013, pp. 2365–2374.</w:t>
      </w:r>
    </w:p>
    <w:p w14:paraId="52E6F029" w14:textId="77777777" w:rsidR="00540DC0" w:rsidRDefault="00540DC0" w:rsidP="00540DC0">
      <w:pPr>
        <w:spacing w:before="60" w:after="60"/>
      </w:pPr>
      <w:r>
        <w:rPr>
          <w:sz w:val="19"/>
          <w:szCs w:val="19"/>
        </w:rPr>
        <w:t xml:space="preserve">[8] J. Froehlich, L. Findlater, and J. Landay, 'The Design of Eco-Feedback Technology,' in Proc. ACM CHI Conference on Human Factors in Computing Systems, Atlanta, GA, USA, 2010, pp. 1999–2008. </w:t>
      </w:r>
      <w:proofErr w:type="spellStart"/>
      <w:r>
        <w:rPr>
          <w:sz w:val="19"/>
          <w:szCs w:val="19"/>
        </w:rPr>
        <w:t>doi</w:t>
      </w:r>
      <w:proofErr w:type="spellEnd"/>
      <w:r>
        <w:rPr>
          <w:sz w:val="19"/>
          <w:szCs w:val="19"/>
        </w:rPr>
        <w:t>: 10.1145/1753326.1753629.</w:t>
      </w:r>
    </w:p>
    <w:p w14:paraId="0098461E" w14:textId="77777777" w:rsidR="00540DC0" w:rsidRDefault="00540DC0" w:rsidP="00540DC0">
      <w:pPr>
        <w:spacing w:before="60" w:after="60"/>
      </w:pPr>
      <w:r>
        <w:rPr>
          <w:sz w:val="19"/>
          <w:szCs w:val="19"/>
        </w:rPr>
        <w:t xml:space="preserve">[9] A. Reinhardt, C. </w:t>
      </w:r>
      <w:proofErr w:type="spellStart"/>
      <w:r>
        <w:rPr>
          <w:sz w:val="19"/>
          <w:szCs w:val="19"/>
        </w:rPr>
        <w:t>Klemenjak</w:t>
      </w:r>
      <w:proofErr w:type="spellEnd"/>
      <w:r>
        <w:rPr>
          <w:sz w:val="19"/>
          <w:szCs w:val="19"/>
        </w:rPr>
        <w:t xml:space="preserve">, and B. Lichtblau, 'A Survey of Non-Intrusive Load Monitoring Methods for Energy Disaggregation,' IEEE Transactions on Smart Grid, vol. 12, no. 3, pp. 2171–2183, May 2021. </w:t>
      </w:r>
      <w:proofErr w:type="spellStart"/>
      <w:r>
        <w:rPr>
          <w:sz w:val="19"/>
          <w:szCs w:val="19"/>
        </w:rPr>
        <w:t>doi</w:t>
      </w:r>
      <w:proofErr w:type="spellEnd"/>
      <w:r>
        <w:rPr>
          <w:sz w:val="19"/>
          <w:szCs w:val="19"/>
        </w:rPr>
        <w:t>: 10.1109/TSG.2020.3021730.</w:t>
      </w:r>
    </w:p>
    <w:p w14:paraId="6CC68B9E" w14:textId="77777777" w:rsidR="00540DC0" w:rsidRDefault="00540DC0" w:rsidP="00540DC0">
      <w:pPr>
        <w:spacing w:before="60" w:after="60"/>
      </w:pPr>
      <w:r>
        <w:rPr>
          <w:sz w:val="19"/>
          <w:szCs w:val="19"/>
        </w:rPr>
        <w:t xml:space="preserve">[10] N. Stennett and J. Froehlich, 'GPS-Based Transportation Mode Detection and Carbon Emission Estimation for Mobile Sustainability Applications,' in Proc. ACM </w:t>
      </w:r>
      <w:proofErr w:type="spellStart"/>
      <w:r>
        <w:rPr>
          <w:sz w:val="19"/>
          <w:szCs w:val="19"/>
        </w:rPr>
        <w:t>UbiComp</w:t>
      </w:r>
      <w:proofErr w:type="spellEnd"/>
      <w:r>
        <w:rPr>
          <w:sz w:val="19"/>
          <w:szCs w:val="19"/>
        </w:rPr>
        <w:t>, London, UK, 2021, pp. 512–521.</w:t>
      </w:r>
    </w:p>
    <w:p w14:paraId="17E71860" w14:textId="77777777" w:rsidR="00540DC0" w:rsidRDefault="00540DC0" w:rsidP="00540DC0">
      <w:pPr>
        <w:spacing w:before="60" w:after="60"/>
      </w:pPr>
      <w:r>
        <w:rPr>
          <w:sz w:val="19"/>
          <w:szCs w:val="19"/>
        </w:rPr>
        <w:t xml:space="preserve">[11] D. Rolnick, P. L. Donti, L. H. </w:t>
      </w:r>
      <w:proofErr w:type="spellStart"/>
      <w:r>
        <w:rPr>
          <w:sz w:val="19"/>
          <w:szCs w:val="19"/>
        </w:rPr>
        <w:t>Kaack</w:t>
      </w:r>
      <w:proofErr w:type="spellEnd"/>
      <w:r>
        <w:rPr>
          <w:sz w:val="19"/>
          <w:szCs w:val="19"/>
        </w:rPr>
        <w:t xml:space="preserve">, K. Kochanski, A. Lacoste, K. Sankaran, et al., 'Tackling Climate Change with Machine Learning,' ACM Computing Surveys, vol. 55, no. 2, pp. 1–96, Feb. 2022. </w:t>
      </w:r>
      <w:proofErr w:type="spellStart"/>
      <w:r>
        <w:rPr>
          <w:sz w:val="19"/>
          <w:szCs w:val="19"/>
        </w:rPr>
        <w:t>doi</w:t>
      </w:r>
      <w:proofErr w:type="spellEnd"/>
      <w:r>
        <w:rPr>
          <w:sz w:val="19"/>
          <w:szCs w:val="19"/>
        </w:rPr>
        <w:t>: 10.1145/3485128.</w:t>
      </w:r>
    </w:p>
    <w:p w14:paraId="179ED027" w14:textId="77777777" w:rsidR="00540DC0" w:rsidRDefault="00540DC0" w:rsidP="00540DC0">
      <w:pPr>
        <w:spacing w:before="60" w:after="60"/>
      </w:pPr>
      <w:r>
        <w:rPr>
          <w:sz w:val="19"/>
          <w:szCs w:val="19"/>
        </w:rPr>
        <w:t xml:space="preserve">[12] M. Zheng, G. Moshkovich, Z. Brakerski, and S. Ioannidis, 'Transportation Mode Classification with Smartphone Sensors for Carbon Emission Tracking,' IEEE Sensors Journal, vol. 21, no. 14, pp. 16083–16094, July 2021. </w:t>
      </w:r>
      <w:proofErr w:type="spellStart"/>
      <w:r>
        <w:rPr>
          <w:sz w:val="19"/>
          <w:szCs w:val="19"/>
        </w:rPr>
        <w:t>doi</w:t>
      </w:r>
      <w:proofErr w:type="spellEnd"/>
      <w:r>
        <w:rPr>
          <w:sz w:val="19"/>
          <w:szCs w:val="19"/>
        </w:rPr>
        <w:t>: 10.1109/JSEN.2021.3075892.</w:t>
      </w:r>
    </w:p>
    <w:p w14:paraId="42A42143" w14:textId="77777777" w:rsidR="00540DC0" w:rsidRDefault="00540DC0" w:rsidP="00540DC0">
      <w:pPr>
        <w:spacing w:before="60" w:after="60"/>
      </w:pPr>
      <w:r>
        <w:rPr>
          <w:sz w:val="19"/>
          <w:szCs w:val="19"/>
        </w:rPr>
        <w:t xml:space="preserve">[13] A. Starke, E. Willemsen, and C. Snijders, 'Overcoming the Cold-Start Problem in Sustainable Food Recommendation Systems: A Persona-Based Approach,' in Proc. ACM </w:t>
      </w:r>
      <w:proofErr w:type="spellStart"/>
      <w:r>
        <w:rPr>
          <w:sz w:val="19"/>
          <w:szCs w:val="19"/>
        </w:rPr>
        <w:t>RecSys</w:t>
      </w:r>
      <w:proofErr w:type="spellEnd"/>
      <w:r>
        <w:rPr>
          <w:sz w:val="19"/>
          <w:szCs w:val="19"/>
        </w:rPr>
        <w:t>, Copenhagen, Denmark, 2021, pp. 214–223.</w:t>
      </w:r>
    </w:p>
    <w:p w14:paraId="2D9CF0EA" w14:textId="77777777" w:rsidR="00540DC0" w:rsidRDefault="00540DC0" w:rsidP="00540DC0">
      <w:pPr>
        <w:spacing w:before="60" w:after="60"/>
      </w:pPr>
      <w:r>
        <w:rPr>
          <w:sz w:val="19"/>
          <w:szCs w:val="19"/>
        </w:rPr>
        <w:t>[14] J. Z. Kolter and T. Jaakkola, 'Approximate Inference in Additive Factorial HMMs with Application to Energy Disaggregation,' in Proc. 15th International Conference on Artificial Intelligence and Statistics (AISTATS), La Palma, Spain, 2012, pp. 1472–1482.</w:t>
      </w:r>
    </w:p>
    <w:p w14:paraId="78D31839" w14:textId="77777777" w:rsidR="00540DC0" w:rsidRDefault="00540DC0" w:rsidP="00540DC0">
      <w:pPr>
        <w:spacing w:before="60" w:after="60"/>
      </w:pPr>
      <w:r>
        <w:rPr>
          <w:sz w:val="19"/>
          <w:szCs w:val="19"/>
        </w:rPr>
        <w:t xml:space="preserve">[15] X. Wang, X. Tang, W. X. Zhao, and J. R. Wen, 'Rethinking the Evaluation for Conversational Recommendation System with ChatGPT,' </w:t>
      </w:r>
      <w:proofErr w:type="spellStart"/>
      <w:r>
        <w:rPr>
          <w:sz w:val="19"/>
          <w:szCs w:val="19"/>
        </w:rPr>
        <w:t>arXiv</w:t>
      </w:r>
      <w:proofErr w:type="spellEnd"/>
      <w:r>
        <w:rPr>
          <w:sz w:val="19"/>
          <w:szCs w:val="19"/>
        </w:rPr>
        <w:t xml:space="preserve"> preprint arXiv:2305.02500, 2023.</w:t>
      </w:r>
    </w:p>
    <w:p w14:paraId="55552D08" w14:textId="77777777" w:rsidR="00540DC0" w:rsidRDefault="00540DC0" w:rsidP="00540DC0">
      <w:pPr>
        <w:spacing w:before="60" w:after="60"/>
      </w:pPr>
      <w:r>
        <w:rPr>
          <w:sz w:val="19"/>
          <w:szCs w:val="19"/>
        </w:rPr>
        <w:t xml:space="preserve">[16] H. </w:t>
      </w:r>
      <w:proofErr w:type="spellStart"/>
      <w:r>
        <w:rPr>
          <w:sz w:val="19"/>
          <w:szCs w:val="19"/>
        </w:rPr>
        <w:t>Touvron</w:t>
      </w:r>
      <w:proofErr w:type="spellEnd"/>
      <w:r>
        <w:rPr>
          <w:sz w:val="19"/>
          <w:szCs w:val="19"/>
        </w:rPr>
        <w:t xml:space="preserve">, T. </w:t>
      </w:r>
      <w:proofErr w:type="spellStart"/>
      <w:r>
        <w:rPr>
          <w:sz w:val="19"/>
          <w:szCs w:val="19"/>
        </w:rPr>
        <w:t>Lavril</w:t>
      </w:r>
      <w:proofErr w:type="spellEnd"/>
      <w:r>
        <w:rPr>
          <w:sz w:val="19"/>
          <w:szCs w:val="19"/>
        </w:rPr>
        <w:t xml:space="preserve">, G. Izacard, X. Martinet, M.-A. </w:t>
      </w:r>
      <w:proofErr w:type="spellStart"/>
      <w:r>
        <w:rPr>
          <w:sz w:val="19"/>
          <w:szCs w:val="19"/>
        </w:rPr>
        <w:t>Lachaux</w:t>
      </w:r>
      <w:proofErr w:type="spellEnd"/>
      <w:r>
        <w:rPr>
          <w:sz w:val="19"/>
          <w:szCs w:val="19"/>
        </w:rPr>
        <w:t>, T. Lacroix, et al., '</w:t>
      </w:r>
      <w:proofErr w:type="spellStart"/>
      <w:r>
        <w:rPr>
          <w:sz w:val="19"/>
          <w:szCs w:val="19"/>
        </w:rPr>
        <w:t>LLaMA</w:t>
      </w:r>
      <w:proofErr w:type="spellEnd"/>
      <w:r>
        <w:rPr>
          <w:sz w:val="19"/>
          <w:szCs w:val="19"/>
        </w:rPr>
        <w:t xml:space="preserve">: Open and Efficient Foundation Language Models,' </w:t>
      </w:r>
      <w:proofErr w:type="spellStart"/>
      <w:r>
        <w:rPr>
          <w:sz w:val="19"/>
          <w:szCs w:val="19"/>
        </w:rPr>
        <w:t>arXiv</w:t>
      </w:r>
      <w:proofErr w:type="spellEnd"/>
      <w:r>
        <w:rPr>
          <w:sz w:val="19"/>
          <w:szCs w:val="19"/>
        </w:rPr>
        <w:t xml:space="preserve"> preprint arXiv:2302.13971, 2023.</w:t>
      </w:r>
    </w:p>
    <w:p w14:paraId="3FAD5C28" w14:textId="77777777" w:rsidR="00540DC0" w:rsidRDefault="00540DC0" w:rsidP="00540DC0">
      <w:pPr>
        <w:spacing w:before="60" w:after="60"/>
      </w:pPr>
      <w:r>
        <w:rPr>
          <w:sz w:val="19"/>
          <w:szCs w:val="19"/>
        </w:rPr>
        <w:t xml:space="preserve">[17] A. Q. Jiang, A. </w:t>
      </w:r>
      <w:proofErr w:type="spellStart"/>
      <w:r>
        <w:rPr>
          <w:sz w:val="19"/>
          <w:szCs w:val="19"/>
        </w:rPr>
        <w:t>Sablayrolles</w:t>
      </w:r>
      <w:proofErr w:type="spellEnd"/>
      <w:r>
        <w:rPr>
          <w:sz w:val="19"/>
          <w:szCs w:val="19"/>
        </w:rPr>
        <w:t xml:space="preserve">, A. Mensch, C. Bamford, D. S. </w:t>
      </w:r>
      <w:proofErr w:type="spellStart"/>
      <w:r>
        <w:rPr>
          <w:sz w:val="19"/>
          <w:szCs w:val="19"/>
        </w:rPr>
        <w:t>Chaplot</w:t>
      </w:r>
      <w:proofErr w:type="spellEnd"/>
      <w:r>
        <w:rPr>
          <w:sz w:val="19"/>
          <w:szCs w:val="19"/>
        </w:rPr>
        <w:t xml:space="preserve">, D. de las Casas, et al., 'Mistral 7B,' </w:t>
      </w:r>
      <w:proofErr w:type="spellStart"/>
      <w:r>
        <w:rPr>
          <w:sz w:val="19"/>
          <w:szCs w:val="19"/>
        </w:rPr>
        <w:t>arXiv</w:t>
      </w:r>
      <w:proofErr w:type="spellEnd"/>
      <w:r>
        <w:rPr>
          <w:sz w:val="19"/>
          <w:szCs w:val="19"/>
        </w:rPr>
        <w:t xml:space="preserve"> preprint arXiv:2310.06825, 2023.</w:t>
      </w:r>
    </w:p>
    <w:p w14:paraId="78B5329C" w14:textId="77777777" w:rsidR="00540DC0" w:rsidRDefault="00540DC0" w:rsidP="00540DC0">
      <w:pPr>
        <w:spacing w:before="60" w:after="60"/>
      </w:pPr>
      <w:r>
        <w:rPr>
          <w:sz w:val="19"/>
          <w:szCs w:val="19"/>
        </w:rPr>
        <w:t xml:space="preserve">[18] J. Wei, X. Wang, D. Schuurmans, M. Bosma, B. </w:t>
      </w:r>
      <w:proofErr w:type="spellStart"/>
      <w:r>
        <w:rPr>
          <w:sz w:val="19"/>
          <w:szCs w:val="19"/>
        </w:rPr>
        <w:t>Ichter</w:t>
      </w:r>
      <w:proofErr w:type="spellEnd"/>
      <w:r>
        <w:rPr>
          <w:sz w:val="19"/>
          <w:szCs w:val="19"/>
        </w:rPr>
        <w:t xml:space="preserve">, F. Xia, E. Chi, Q. Le, and D. Zhou, 'Chain-of-Thought Prompting Elicits Reasoning in Large Language Models,' in Proc. </w:t>
      </w:r>
      <w:proofErr w:type="spellStart"/>
      <w:r>
        <w:rPr>
          <w:sz w:val="19"/>
          <w:szCs w:val="19"/>
        </w:rPr>
        <w:t>NeurIPS</w:t>
      </w:r>
      <w:proofErr w:type="spellEnd"/>
      <w:r>
        <w:rPr>
          <w:sz w:val="19"/>
          <w:szCs w:val="19"/>
        </w:rPr>
        <w:t>, New Orleans, LA, USA, 2022, pp. 24824–24837.</w:t>
      </w:r>
    </w:p>
    <w:p w14:paraId="5A6380D5" w14:textId="77777777" w:rsidR="00540DC0" w:rsidRDefault="00540DC0" w:rsidP="00540DC0">
      <w:pPr>
        <w:spacing w:before="60" w:after="60"/>
      </w:pPr>
      <w:r>
        <w:rPr>
          <w:sz w:val="19"/>
          <w:szCs w:val="19"/>
        </w:rPr>
        <w:t xml:space="preserve">[19] Y. Guo, Z. Xu, R. Xu, Z. Zhang, C. Zhang, D. Song, and Y. Zheng, 'Evaluating Large Language Models as Scientific Advisors: A Domain-Specific Prompt Engineering Study,' Frontiers in Artificial Intelligence, vol. 6, p. 1251643, 2023. </w:t>
      </w:r>
      <w:proofErr w:type="spellStart"/>
      <w:r>
        <w:rPr>
          <w:sz w:val="19"/>
          <w:szCs w:val="19"/>
        </w:rPr>
        <w:t>doi</w:t>
      </w:r>
      <w:proofErr w:type="spellEnd"/>
      <w:r>
        <w:rPr>
          <w:sz w:val="19"/>
          <w:szCs w:val="19"/>
        </w:rPr>
        <w:t>: 10.3389/frai.2023.1251643.</w:t>
      </w:r>
    </w:p>
    <w:p w14:paraId="36525674" w14:textId="77777777" w:rsidR="00540DC0" w:rsidRDefault="00540DC0" w:rsidP="00540DC0">
      <w:pPr>
        <w:spacing w:before="60" w:after="60"/>
      </w:pPr>
      <w:r>
        <w:rPr>
          <w:sz w:val="19"/>
          <w:szCs w:val="19"/>
        </w:rPr>
        <w:t xml:space="preserve">[20] </w:t>
      </w:r>
      <w:proofErr w:type="spellStart"/>
      <w:r>
        <w:rPr>
          <w:sz w:val="19"/>
          <w:szCs w:val="19"/>
        </w:rPr>
        <w:t>Ollama</w:t>
      </w:r>
      <w:proofErr w:type="spellEnd"/>
      <w:r>
        <w:rPr>
          <w:sz w:val="19"/>
          <w:szCs w:val="19"/>
        </w:rPr>
        <w:t xml:space="preserve"> Inc., '</w:t>
      </w:r>
      <w:proofErr w:type="spellStart"/>
      <w:r>
        <w:rPr>
          <w:sz w:val="19"/>
          <w:szCs w:val="19"/>
        </w:rPr>
        <w:t>Ollama</w:t>
      </w:r>
      <w:proofErr w:type="spellEnd"/>
      <w:r>
        <w:rPr>
          <w:sz w:val="19"/>
          <w:szCs w:val="19"/>
        </w:rPr>
        <w:t>: Run Large Language Models Locally,' GitHub Repository, 2023. [Online]. Available: https://github.com/ollama/ollama.</w:t>
      </w:r>
    </w:p>
    <w:p w14:paraId="0FCB6946" w14:textId="77777777" w:rsidR="00540DC0" w:rsidRDefault="00540DC0" w:rsidP="00540DC0">
      <w:pPr>
        <w:spacing w:before="60" w:after="60"/>
      </w:pPr>
      <w:r>
        <w:rPr>
          <w:sz w:val="19"/>
          <w:szCs w:val="19"/>
        </w:rPr>
        <w:t>[21] B. Penzenstadler and H. Femmer, 'A Generic Model for Sustainability with Process- and Product-Specific Instances,' in Proc. Workshop on Green in/by Software Engineering (GIBSE), Hyderabad, India, 2013, pp. 3–8.</w:t>
      </w:r>
    </w:p>
    <w:p w14:paraId="099260B3" w14:textId="77777777" w:rsidR="00540DC0" w:rsidRDefault="00540DC0" w:rsidP="00540DC0">
      <w:pPr>
        <w:spacing w:before="60" w:after="60"/>
      </w:pPr>
      <w:r>
        <w:rPr>
          <w:sz w:val="19"/>
          <w:szCs w:val="19"/>
        </w:rPr>
        <w:t>[22] J. Froehlich, M. J. Findlater, and J. Landay, 'The Design of Eco-Feedback Technology: A Taxonomy of Real-World Deployments,' IEEE Pervasive Computing, vol. 9, no. 4, pp. 20–29, Oct.–Dec. 2010.</w:t>
      </w:r>
    </w:p>
    <w:p w14:paraId="4F946454" w14:textId="77777777" w:rsidR="00540DC0" w:rsidRDefault="00540DC0" w:rsidP="00540DC0">
      <w:pPr>
        <w:spacing w:before="60" w:after="60"/>
      </w:pPr>
      <w:r>
        <w:rPr>
          <w:sz w:val="19"/>
          <w:szCs w:val="19"/>
        </w:rPr>
        <w:t>[23] World Resources Institute and World Business Council for Sustainable Development, 'The Greenhouse Gas Protocol: A Corporate Accounting and Reporting Standard,' WRI/WBCSD, Washington, D.C., revised edition, 2015.</w:t>
      </w:r>
    </w:p>
    <w:p w14:paraId="0AD9D84A" w14:textId="77777777" w:rsidR="00540DC0" w:rsidRDefault="00540DC0" w:rsidP="00540DC0">
      <w:pPr>
        <w:spacing w:before="60" w:after="60"/>
      </w:pPr>
      <w:r>
        <w:rPr>
          <w:sz w:val="19"/>
          <w:szCs w:val="19"/>
        </w:rPr>
        <w:t>[24] DEFRA, 'Greenhouse Gas Reporting: Conversion Factors 2023,' UK Department for Environment, Food and Rural Affairs, London, UK, 2023. [Online]. Available: https://www.gov.uk/government/collections/government-conversion-factors-for-company-reporting.</w:t>
      </w:r>
    </w:p>
    <w:p w14:paraId="6476938C" w14:textId="624B4654" w:rsidR="00540DC0" w:rsidRDefault="00540DC0" w:rsidP="00540DC0">
      <w:pPr>
        <w:spacing w:before="80" w:after="80" w:line="276" w:lineRule="auto"/>
      </w:pPr>
      <w:r>
        <w:rPr>
          <w:sz w:val="19"/>
          <w:szCs w:val="19"/>
        </w:rPr>
        <w:t xml:space="preserve">[25] M. S. Maas, 'International AI Governance and the Carbon Footprint Question: Toward a Unified </w:t>
      </w:r>
      <w:r>
        <w:rPr>
          <w:sz w:val="19"/>
          <w:szCs w:val="19"/>
        </w:rPr>
        <w:lastRenderedPageBreak/>
        <w:t xml:space="preserve">Framework,' Climate Policy, vol. 23, no. 5, pp. 612–627, 2023. </w:t>
      </w:r>
      <w:proofErr w:type="spellStart"/>
      <w:r>
        <w:rPr>
          <w:sz w:val="19"/>
          <w:szCs w:val="19"/>
        </w:rPr>
        <w:t>doi</w:t>
      </w:r>
      <w:proofErr w:type="spellEnd"/>
      <w:r>
        <w:rPr>
          <w:sz w:val="19"/>
          <w:szCs w:val="19"/>
        </w:rPr>
        <w:t>: 10.1080/14693062.2022.2158672</w:t>
      </w:r>
    </w:p>
    <w:p w14:paraId="24D2AFB6" w14:textId="77777777" w:rsidR="00540DC0" w:rsidRDefault="00540DC0" w:rsidP="00540DC0">
      <w:pPr>
        <w:spacing w:before="60" w:after="60"/>
      </w:pPr>
    </w:p>
    <w:p w14:paraId="41ABA1DF" w14:textId="04A5ED88" w:rsidR="00540DC0" w:rsidRDefault="00540DC0" w:rsidP="00540DC0">
      <w:pPr>
        <w:spacing w:before="80" w:after="80" w:line="276" w:lineRule="auto"/>
      </w:pPr>
      <w:r>
        <w:rPr>
          <w:szCs w:val="20"/>
        </w:rPr>
        <w:t>.</w:t>
      </w:r>
    </w:p>
    <w:p w14:paraId="706DD029" w14:textId="77777777" w:rsidR="00540DC0" w:rsidRDefault="00540DC0" w:rsidP="00540DC0">
      <w:pPr>
        <w:spacing w:before="60" w:after="60"/>
      </w:pPr>
    </w:p>
    <w:p w14:paraId="3FD7A12B" w14:textId="0B70290E" w:rsidR="00540DC0" w:rsidRDefault="00540DC0" w:rsidP="00540DC0">
      <w:pPr>
        <w:spacing w:before="80" w:after="80" w:line="276" w:lineRule="auto"/>
      </w:pPr>
      <w:r>
        <w:rPr>
          <w:szCs w:val="20"/>
        </w:rPr>
        <w:t>.</w:t>
      </w:r>
    </w:p>
    <w:p w14:paraId="4E4EB43B" w14:textId="77777777" w:rsidR="00540DC0" w:rsidRDefault="00540DC0" w:rsidP="00540DC0">
      <w:pPr>
        <w:spacing w:before="60" w:after="60"/>
      </w:pPr>
    </w:p>
    <w:p w14:paraId="6658EDC4" w14:textId="77777777" w:rsidR="00AE2F8A" w:rsidRDefault="00AE2F8A" w:rsidP="00AE2F8A">
      <w:pPr>
        <w:spacing w:before="80" w:after="80" w:line="276" w:lineRule="auto"/>
        <w:rPr>
          <w:szCs w:val="20"/>
        </w:rPr>
      </w:pPr>
    </w:p>
    <w:p w14:paraId="1826167C" w14:textId="77777777" w:rsidR="005401CE" w:rsidRPr="005401CE" w:rsidRDefault="005401CE" w:rsidP="005401CE">
      <w:pPr>
        <w:ind w:left="-284" w:firstLine="0"/>
        <w:jc w:val="left"/>
        <w:rPr>
          <w:szCs w:val="20"/>
        </w:rPr>
      </w:pPr>
    </w:p>
    <w:sectPr w:rsidR="005401CE" w:rsidRPr="005401CE" w:rsidSect="000967F0">
      <w:type w:val="continuous"/>
      <w:pgSz w:w="11906" w:h="16838" w:code="9"/>
      <w:pgMar w:top="1440" w:right="1134" w:bottom="680" w:left="1134"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9DEE0" w14:textId="77777777" w:rsidR="001F7AA5" w:rsidRDefault="001F7AA5" w:rsidP="00500CE4">
      <w:pPr>
        <w:spacing w:after="0" w:line="240" w:lineRule="auto"/>
      </w:pPr>
      <w:r>
        <w:separator/>
      </w:r>
    </w:p>
  </w:endnote>
  <w:endnote w:type="continuationSeparator" w:id="0">
    <w:p w14:paraId="434C71B8" w14:textId="77777777" w:rsidR="001F7AA5" w:rsidRDefault="001F7AA5" w:rsidP="00500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94A6C" w14:textId="77777777" w:rsidR="001F7AA5" w:rsidRDefault="001F7AA5" w:rsidP="00500CE4">
      <w:pPr>
        <w:spacing w:after="0" w:line="240" w:lineRule="auto"/>
      </w:pPr>
      <w:r>
        <w:separator/>
      </w:r>
    </w:p>
  </w:footnote>
  <w:footnote w:type="continuationSeparator" w:id="0">
    <w:p w14:paraId="4EEEE877" w14:textId="77777777" w:rsidR="001F7AA5" w:rsidRDefault="001F7AA5" w:rsidP="00500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A0FE3"/>
    <w:multiLevelType w:val="hybridMultilevel"/>
    <w:tmpl w:val="A29E2B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5EF6751"/>
    <w:multiLevelType w:val="hybridMultilevel"/>
    <w:tmpl w:val="A29E2B76"/>
    <w:lvl w:ilvl="0" w:tplc="DD54A30A">
      <w:start w:val="1"/>
      <w:numFmt w:val="decimal"/>
      <w:lvlText w:val="%1."/>
      <w:lvlJc w:val="left"/>
      <w:pPr>
        <w:ind w:left="720" w:hanging="360"/>
      </w:pPr>
    </w:lvl>
    <w:lvl w:ilvl="1" w:tplc="4C665DCA">
      <w:numFmt w:val="decimal"/>
      <w:lvlText w:val=""/>
      <w:lvlJc w:val="left"/>
    </w:lvl>
    <w:lvl w:ilvl="2" w:tplc="81F2BDE6">
      <w:numFmt w:val="decimal"/>
      <w:lvlText w:val=""/>
      <w:lvlJc w:val="left"/>
    </w:lvl>
    <w:lvl w:ilvl="3" w:tplc="AE5C793A">
      <w:numFmt w:val="decimal"/>
      <w:lvlText w:val=""/>
      <w:lvlJc w:val="left"/>
    </w:lvl>
    <w:lvl w:ilvl="4" w:tplc="2DFA4CAA">
      <w:numFmt w:val="decimal"/>
      <w:lvlText w:val=""/>
      <w:lvlJc w:val="left"/>
    </w:lvl>
    <w:lvl w:ilvl="5" w:tplc="8EF23D5C">
      <w:numFmt w:val="decimal"/>
      <w:lvlText w:val=""/>
      <w:lvlJc w:val="left"/>
    </w:lvl>
    <w:lvl w:ilvl="6" w:tplc="7302B41C">
      <w:numFmt w:val="decimal"/>
      <w:lvlText w:val=""/>
      <w:lvlJc w:val="left"/>
    </w:lvl>
    <w:lvl w:ilvl="7" w:tplc="0C2672C0">
      <w:numFmt w:val="decimal"/>
      <w:lvlText w:val=""/>
      <w:lvlJc w:val="left"/>
    </w:lvl>
    <w:lvl w:ilvl="8" w:tplc="A4DCFBBE">
      <w:numFmt w:val="decimal"/>
      <w:lvlText w:val=""/>
      <w:lvlJc w:val="left"/>
    </w:lvl>
  </w:abstractNum>
  <w:abstractNum w:abstractNumId="2" w15:restartNumberingAfterBreak="0">
    <w:nsid w:val="6A452B82"/>
    <w:multiLevelType w:val="hybridMultilevel"/>
    <w:tmpl w:val="A29E2B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A4F1CF8"/>
    <w:multiLevelType w:val="hybridMultilevel"/>
    <w:tmpl w:val="A29E2B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25720684">
    <w:abstractNumId w:val="1"/>
    <w:lvlOverride w:ilvl="0">
      <w:startOverride w:val="1"/>
    </w:lvlOverride>
  </w:num>
  <w:num w:numId="2" w16cid:durableId="443231407">
    <w:abstractNumId w:val="1"/>
  </w:num>
  <w:num w:numId="3" w16cid:durableId="4479326">
    <w:abstractNumId w:val="3"/>
  </w:num>
  <w:num w:numId="4" w16cid:durableId="1647467913">
    <w:abstractNumId w:val="2"/>
  </w:num>
  <w:num w:numId="5" w16cid:durableId="534659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06"/>
    <w:rsid w:val="000967F0"/>
    <w:rsid w:val="000B3F2B"/>
    <w:rsid w:val="00141E51"/>
    <w:rsid w:val="00143666"/>
    <w:rsid w:val="001B6C03"/>
    <w:rsid w:val="001F7AA5"/>
    <w:rsid w:val="003005BF"/>
    <w:rsid w:val="003C1065"/>
    <w:rsid w:val="003F094C"/>
    <w:rsid w:val="004B4E5A"/>
    <w:rsid w:val="00500CE4"/>
    <w:rsid w:val="00516455"/>
    <w:rsid w:val="005401CE"/>
    <w:rsid w:val="00540DC0"/>
    <w:rsid w:val="005D7B79"/>
    <w:rsid w:val="006C5DC1"/>
    <w:rsid w:val="00715401"/>
    <w:rsid w:val="007401D2"/>
    <w:rsid w:val="00754E06"/>
    <w:rsid w:val="0076138A"/>
    <w:rsid w:val="00780ED9"/>
    <w:rsid w:val="00817570"/>
    <w:rsid w:val="00894B43"/>
    <w:rsid w:val="008C7620"/>
    <w:rsid w:val="0092225D"/>
    <w:rsid w:val="00941511"/>
    <w:rsid w:val="009F3B48"/>
    <w:rsid w:val="00A40B9D"/>
    <w:rsid w:val="00AB0AE2"/>
    <w:rsid w:val="00AE2F8A"/>
    <w:rsid w:val="00B57917"/>
    <w:rsid w:val="00BC6FCE"/>
    <w:rsid w:val="00BF4258"/>
    <w:rsid w:val="00CD38DB"/>
    <w:rsid w:val="00D4653A"/>
    <w:rsid w:val="00D81627"/>
    <w:rsid w:val="00D8215A"/>
    <w:rsid w:val="00DA6BA0"/>
    <w:rsid w:val="00E37A0A"/>
    <w:rsid w:val="00E45AE1"/>
    <w:rsid w:val="00F0723C"/>
    <w:rsid w:val="00F14D82"/>
    <w:rsid w:val="00F370F9"/>
    <w:rsid w:val="00F62F77"/>
    <w:rsid w:val="00FC3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CC99"/>
  <w15:chartTrackingRefBased/>
  <w15:docId w15:val="{354F2354-8760-4A37-B199-FACB63EE4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D82"/>
    <w:pPr>
      <w:spacing w:after="89" w:line="253" w:lineRule="auto"/>
      <w:ind w:left="152" w:hanging="10"/>
      <w:jc w:val="both"/>
    </w:pPr>
    <w:rPr>
      <w:rFonts w:ascii="Times New Roman" w:eastAsia="Times New Roman" w:hAnsi="Times New Roman" w:cs="Times New Roman"/>
      <w:color w:val="000000"/>
      <w:sz w:val="20"/>
      <w:lang w:eastAsia="en-IN"/>
    </w:rPr>
  </w:style>
  <w:style w:type="paragraph" w:styleId="Heading1">
    <w:name w:val="heading 1"/>
    <w:basedOn w:val="Normal"/>
    <w:next w:val="Normal"/>
    <w:link w:val="Heading1Char"/>
    <w:uiPriority w:val="9"/>
    <w:qFormat/>
    <w:rsid w:val="00754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E06"/>
    <w:rPr>
      <w:rFonts w:eastAsiaTheme="majorEastAsia" w:cstheme="majorBidi"/>
      <w:color w:val="272727" w:themeColor="text1" w:themeTint="D8"/>
    </w:rPr>
  </w:style>
  <w:style w:type="paragraph" w:styleId="Title">
    <w:name w:val="Title"/>
    <w:basedOn w:val="Normal"/>
    <w:next w:val="Normal"/>
    <w:link w:val="TitleChar"/>
    <w:uiPriority w:val="10"/>
    <w:qFormat/>
    <w:rsid w:val="00754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E06"/>
    <w:pPr>
      <w:numPr>
        <w:ilvl w:val="1"/>
      </w:numPr>
      <w:ind w:left="152"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E06"/>
    <w:pPr>
      <w:spacing w:before="160"/>
      <w:jc w:val="center"/>
    </w:pPr>
    <w:rPr>
      <w:i/>
      <w:iCs/>
      <w:color w:val="404040" w:themeColor="text1" w:themeTint="BF"/>
    </w:rPr>
  </w:style>
  <w:style w:type="character" w:customStyle="1" w:styleId="QuoteChar">
    <w:name w:val="Quote Char"/>
    <w:basedOn w:val="DefaultParagraphFont"/>
    <w:link w:val="Quote"/>
    <w:uiPriority w:val="29"/>
    <w:rsid w:val="00754E06"/>
    <w:rPr>
      <w:i/>
      <w:iCs/>
      <w:color w:val="404040" w:themeColor="text1" w:themeTint="BF"/>
    </w:rPr>
  </w:style>
  <w:style w:type="paragraph" w:styleId="ListParagraph">
    <w:name w:val="List Paragraph"/>
    <w:basedOn w:val="Normal"/>
    <w:qFormat/>
    <w:rsid w:val="00754E06"/>
    <w:pPr>
      <w:ind w:left="720"/>
      <w:contextualSpacing/>
    </w:pPr>
  </w:style>
  <w:style w:type="character" w:styleId="IntenseEmphasis">
    <w:name w:val="Intense Emphasis"/>
    <w:basedOn w:val="DefaultParagraphFont"/>
    <w:uiPriority w:val="21"/>
    <w:qFormat/>
    <w:rsid w:val="00754E06"/>
    <w:rPr>
      <w:i/>
      <w:iCs/>
      <w:color w:val="2F5496" w:themeColor="accent1" w:themeShade="BF"/>
    </w:rPr>
  </w:style>
  <w:style w:type="paragraph" w:styleId="IntenseQuote">
    <w:name w:val="Intense Quote"/>
    <w:basedOn w:val="Normal"/>
    <w:next w:val="Normal"/>
    <w:link w:val="IntenseQuoteChar"/>
    <w:uiPriority w:val="30"/>
    <w:qFormat/>
    <w:rsid w:val="00754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E06"/>
    <w:rPr>
      <w:i/>
      <w:iCs/>
      <w:color w:val="2F5496" w:themeColor="accent1" w:themeShade="BF"/>
    </w:rPr>
  </w:style>
  <w:style w:type="character" w:styleId="IntenseReference">
    <w:name w:val="Intense Reference"/>
    <w:basedOn w:val="DefaultParagraphFont"/>
    <w:uiPriority w:val="32"/>
    <w:qFormat/>
    <w:rsid w:val="00754E06"/>
    <w:rPr>
      <w:b/>
      <w:bCs/>
      <w:smallCaps/>
      <w:color w:val="2F5496" w:themeColor="accent1" w:themeShade="BF"/>
      <w:spacing w:val="5"/>
    </w:rPr>
  </w:style>
  <w:style w:type="table" w:customStyle="1" w:styleId="TableGrid">
    <w:name w:val="TableGrid"/>
    <w:rsid w:val="00F14D82"/>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500C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CE4"/>
    <w:rPr>
      <w:rFonts w:ascii="Times New Roman" w:eastAsia="Times New Roman" w:hAnsi="Times New Roman" w:cs="Times New Roman"/>
      <w:color w:val="000000"/>
      <w:sz w:val="20"/>
      <w:lang w:eastAsia="en-IN"/>
    </w:rPr>
  </w:style>
  <w:style w:type="paragraph" w:styleId="Footer">
    <w:name w:val="footer"/>
    <w:basedOn w:val="Normal"/>
    <w:link w:val="FooterChar"/>
    <w:uiPriority w:val="99"/>
    <w:unhideWhenUsed/>
    <w:rsid w:val="00500C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0CE4"/>
    <w:rPr>
      <w:rFonts w:ascii="Times New Roman" w:eastAsia="Times New Roman" w:hAnsi="Times New Roman" w:cs="Times New Roman"/>
      <w:color w:val="000000"/>
      <w:sz w:val="20"/>
      <w:lang w:eastAsia="en-IN"/>
    </w:rPr>
  </w:style>
  <w:style w:type="table" w:styleId="TableGrid0">
    <w:name w:val="Table Grid"/>
    <w:basedOn w:val="TableNormal"/>
    <w:uiPriority w:val="39"/>
    <w:rsid w:val="00817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B4E5A"/>
    <w:pPr>
      <w:spacing w:after="0" w:line="240" w:lineRule="auto"/>
      <w:ind w:left="152" w:hanging="10"/>
      <w:jc w:val="both"/>
    </w:pPr>
    <w:rPr>
      <w:rFonts w:ascii="Times New Roman" w:eastAsia="Times New Roman" w:hAnsi="Times New Roman" w:cs="Times New Roman"/>
      <w:color w:val="000000"/>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6C6E7-3740-4A08-B140-DDBE75AC9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10</Pages>
  <Words>5998</Words>
  <Characters>34192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singh</dc:creator>
  <cp:keywords/>
  <dc:description/>
  <cp:lastModifiedBy>Pranav singh</cp:lastModifiedBy>
  <cp:revision>24</cp:revision>
  <dcterms:created xsi:type="dcterms:W3CDTF">2026-06-15T13:50:00Z</dcterms:created>
  <dcterms:modified xsi:type="dcterms:W3CDTF">2026-06-15T18:21:00Z</dcterms:modified>
</cp:coreProperties>
</file>