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47D60" w14:textId="6C421FF2" w:rsidR="00B667A8" w:rsidRDefault="00B667A8" w:rsidP="00945728">
      <w:pPr>
        <w:spacing w:line="360" w:lineRule="auto"/>
        <w:rPr>
          <w:rFonts w:ascii="Arial" w:hAnsi="Arial" w:cs="Arial"/>
          <w:color w:val="000000" w:themeColor="text1"/>
        </w:rPr>
      </w:pPr>
    </w:p>
    <w:p w14:paraId="2AFE4BA1" w14:textId="77777777" w:rsidR="00B919A6" w:rsidRPr="00625688" w:rsidRDefault="00B919A6" w:rsidP="00B919A6">
      <w:pPr>
        <w:rPr>
          <w:rFonts w:ascii="Arial" w:hAnsi="Arial" w:cs="Arial"/>
          <w:b/>
          <w:color w:val="000000" w:themeColor="text1"/>
          <w:sz w:val="2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25688">
        <w:rPr>
          <w:rFonts w:ascii="Arial" w:hAnsi="Arial" w:cs="Arial"/>
          <w:b/>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DESCRIPTIVE ANALYTICS REPORT</w:t>
      </w:r>
      <w:r w:rsidRPr="00625688">
        <w:rPr>
          <w:rFonts w:ascii="Arial" w:hAnsi="Arial" w:cs="Arial"/>
          <w:b/>
          <w:color w:val="000000" w:themeColor="text1"/>
          <w:sz w:val="2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78A820D3" w14:textId="77777777" w:rsidR="00B919A6" w:rsidRPr="00625688" w:rsidRDefault="00B919A6" w:rsidP="00B919A6">
      <w:pPr>
        <w:rPr>
          <w:rFonts w:ascii="Arial" w:hAnsi="Arial" w:cs="Arial"/>
          <w:b/>
          <w:color w:val="000000" w:themeColor="text1"/>
          <w:sz w:val="2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500277A" w14:textId="77777777" w:rsidR="00B919A6" w:rsidRPr="00625688" w:rsidRDefault="00B919A6" w:rsidP="00B919A6">
      <w:pPr>
        <w:rPr>
          <w:rFonts w:ascii="Arial" w:hAnsi="Arial" w:cs="Arial"/>
          <w:b/>
          <w:color w:val="000000" w:themeColor="text1"/>
          <w:sz w:val="2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1F751A7" w14:textId="77777777" w:rsidR="00B919A6" w:rsidRPr="00625688" w:rsidRDefault="00B919A6" w:rsidP="00B919A6">
      <w:pPr>
        <w:spacing w:line="480" w:lineRule="auto"/>
        <w:jc w:val="center"/>
        <w:rPr>
          <w:rFonts w:ascii="Arial" w:hAnsi="Arial" w:cs="Arial"/>
          <w:color w:val="215E99" w:themeColor="text2" w:themeTint="BF"/>
          <w:sz w:val="40"/>
          <w:szCs w:val="40"/>
          <w:u w:val="single"/>
        </w:rPr>
      </w:pPr>
      <w:r w:rsidRPr="00625688">
        <w:rPr>
          <w:rFonts w:ascii="Arial" w:hAnsi="Arial" w:cs="Arial"/>
          <w:color w:val="215E99" w:themeColor="text2" w:themeTint="BF"/>
          <w:sz w:val="40"/>
          <w:szCs w:val="40"/>
          <w:u w:val="single"/>
        </w:rPr>
        <w:t>Product / Service Performance Analysis: RedBus Bus-Ticket Booking Service</w:t>
      </w:r>
    </w:p>
    <w:p w14:paraId="180467CF" w14:textId="77777777" w:rsidR="00B919A6" w:rsidRPr="00625688" w:rsidRDefault="00B919A6" w:rsidP="00B919A6">
      <w:pPr>
        <w:spacing w:line="480" w:lineRule="auto"/>
        <w:jc w:val="center"/>
        <w:rPr>
          <w:rFonts w:ascii="Arial" w:hAnsi="Arial" w:cs="Arial"/>
          <w:color w:val="215E99" w:themeColor="text2" w:themeTint="BF"/>
          <w:sz w:val="40"/>
          <w:szCs w:val="40"/>
          <w:u w:val="single"/>
        </w:rPr>
      </w:pPr>
      <w:r w:rsidRPr="00625688">
        <w:rPr>
          <w:rFonts w:ascii="Arial" w:hAnsi="Arial" w:cs="Arial"/>
          <w:color w:val="215E99" w:themeColor="text2" w:themeTint="BF"/>
          <w:sz w:val="40"/>
          <w:szCs w:val="40"/>
          <w:u w:val="single"/>
        </w:rPr>
        <w:t>Business Analytics — Individual Assignment</w:t>
      </w:r>
    </w:p>
    <w:p w14:paraId="7C0F3880" w14:textId="77777777" w:rsidR="00B919A6" w:rsidRPr="00625688" w:rsidRDefault="00B919A6" w:rsidP="00B919A6">
      <w:pPr>
        <w:jc w:val="center"/>
        <w:rPr>
          <w:rFonts w:ascii="Arial" w:hAnsi="Arial" w:cs="Arial"/>
          <w:sz w:val="22"/>
          <w:u w:val="single"/>
        </w:rPr>
      </w:pPr>
    </w:p>
    <w:p w14:paraId="6EF79190" w14:textId="77777777" w:rsidR="00B919A6" w:rsidRPr="00625688" w:rsidRDefault="00B919A6" w:rsidP="00B919A6">
      <w:pPr>
        <w:jc w:val="center"/>
        <w:rPr>
          <w:rFonts w:ascii="Arial" w:hAnsi="Arial" w:cs="Arial"/>
          <w:sz w:val="22"/>
          <w:u w:val="single"/>
        </w:rPr>
      </w:pPr>
    </w:p>
    <w:p w14:paraId="397E29D2" w14:textId="77777777" w:rsidR="00B919A6" w:rsidRDefault="00B919A6" w:rsidP="00B919A6">
      <w:pPr>
        <w:rPr>
          <w:rFonts w:ascii="Arial" w:hAnsi="Arial" w:cs="Arial"/>
          <w:sz w:val="36"/>
          <w:szCs w:val="36"/>
        </w:rPr>
      </w:pPr>
    </w:p>
    <w:p w14:paraId="6D37C3D5" w14:textId="77777777" w:rsidR="00B919A6" w:rsidRDefault="00B919A6" w:rsidP="00B919A6">
      <w:pPr>
        <w:rPr>
          <w:rFonts w:ascii="Arial" w:hAnsi="Arial" w:cs="Arial"/>
          <w:sz w:val="36"/>
          <w:szCs w:val="36"/>
        </w:rPr>
      </w:pPr>
    </w:p>
    <w:p w14:paraId="09F98F36" w14:textId="77777777" w:rsidR="00B919A6" w:rsidRDefault="00B919A6" w:rsidP="00B919A6">
      <w:pPr>
        <w:rPr>
          <w:rFonts w:ascii="Arial" w:hAnsi="Arial" w:cs="Arial"/>
          <w:sz w:val="36"/>
          <w:szCs w:val="36"/>
        </w:rPr>
      </w:pPr>
    </w:p>
    <w:p w14:paraId="2A984650" w14:textId="0F60A729" w:rsidR="00B919A6" w:rsidRPr="00B919A6" w:rsidRDefault="00B919A6" w:rsidP="00B919A6">
      <w:pPr>
        <w:pStyle w:val="ListParagraph"/>
        <w:numPr>
          <w:ilvl w:val="0"/>
          <w:numId w:val="2"/>
        </w:numPr>
        <w:spacing w:line="600" w:lineRule="auto"/>
        <w:rPr>
          <w:rFonts w:ascii="Arial" w:hAnsi="Arial" w:cs="Arial"/>
          <w:sz w:val="36"/>
          <w:szCs w:val="36"/>
        </w:rPr>
      </w:pPr>
      <w:r w:rsidRPr="00B919A6">
        <w:rPr>
          <w:rFonts w:ascii="Arial" w:hAnsi="Arial" w:cs="Arial"/>
          <w:sz w:val="36"/>
          <w:szCs w:val="36"/>
        </w:rPr>
        <w:t>Name: Sejal</w:t>
      </w:r>
    </w:p>
    <w:p w14:paraId="2ECE2E6D" w14:textId="77777777" w:rsidR="00B919A6" w:rsidRPr="00B919A6" w:rsidRDefault="00B919A6" w:rsidP="00B919A6">
      <w:pPr>
        <w:pStyle w:val="ListParagraph"/>
        <w:numPr>
          <w:ilvl w:val="0"/>
          <w:numId w:val="2"/>
        </w:numPr>
        <w:spacing w:line="600" w:lineRule="auto"/>
        <w:rPr>
          <w:rFonts w:ascii="Arial" w:hAnsi="Arial" w:cs="Arial"/>
          <w:sz w:val="36"/>
          <w:szCs w:val="36"/>
        </w:rPr>
      </w:pPr>
      <w:r w:rsidRPr="00B919A6">
        <w:rPr>
          <w:rFonts w:ascii="Arial" w:hAnsi="Arial" w:cs="Arial"/>
          <w:sz w:val="36"/>
          <w:szCs w:val="36"/>
        </w:rPr>
        <w:t>Roll Number: 1250258406</w:t>
      </w:r>
    </w:p>
    <w:p w14:paraId="36D7CA63" w14:textId="77777777" w:rsidR="00B919A6" w:rsidRPr="00B919A6" w:rsidRDefault="00B919A6" w:rsidP="00B919A6">
      <w:pPr>
        <w:pStyle w:val="ListParagraph"/>
        <w:numPr>
          <w:ilvl w:val="0"/>
          <w:numId w:val="2"/>
        </w:numPr>
        <w:spacing w:line="600" w:lineRule="auto"/>
        <w:rPr>
          <w:rFonts w:ascii="Arial" w:hAnsi="Arial" w:cs="Arial"/>
          <w:sz w:val="36"/>
          <w:szCs w:val="36"/>
        </w:rPr>
      </w:pPr>
      <w:r w:rsidRPr="00B919A6">
        <w:rPr>
          <w:rFonts w:ascii="Arial" w:hAnsi="Arial" w:cs="Arial"/>
          <w:sz w:val="36"/>
          <w:szCs w:val="36"/>
        </w:rPr>
        <w:t>Course: BCA(DS&amp;AI)</w:t>
      </w:r>
    </w:p>
    <w:p w14:paraId="0F7C1A0D" w14:textId="77777777" w:rsidR="00B919A6" w:rsidRPr="00B919A6" w:rsidRDefault="00B919A6" w:rsidP="00B919A6">
      <w:pPr>
        <w:pStyle w:val="ListParagraph"/>
        <w:numPr>
          <w:ilvl w:val="0"/>
          <w:numId w:val="2"/>
        </w:numPr>
        <w:spacing w:line="600" w:lineRule="auto"/>
        <w:rPr>
          <w:rFonts w:ascii="Arial" w:hAnsi="Arial" w:cs="Arial"/>
          <w:sz w:val="36"/>
          <w:szCs w:val="36"/>
        </w:rPr>
      </w:pPr>
      <w:r w:rsidRPr="00B919A6">
        <w:rPr>
          <w:rFonts w:ascii="Arial" w:hAnsi="Arial" w:cs="Arial"/>
          <w:sz w:val="36"/>
          <w:szCs w:val="36"/>
        </w:rPr>
        <w:t>Batch: BCADS27</w:t>
      </w:r>
    </w:p>
    <w:p w14:paraId="27000F49" w14:textId="77777777" w:rsidR="00B919A6" w:rsidRPr="00B919A6" w:rsidRDefault="00B919A6" w:rsidP="00B919A6">
      <w:pPr>
        <w:pStyle w:val="ListParagraph"/>
        <w:numPr>
          <w:ilvl w:val="0"/>
          <w:numId w:val="2"/>
        </w:numPr>
        <w:spacing w:line="600" w:lineRule="auto"/>
        <w:rPr>
          <w:rFonts w:ascii="Arial" w:hAnsi="Arial" w:cs="Arial"/>
          <w:sz w:val="36"/>
          <w:szCs w:val="36"/>
        </w:rPr>
      </w:pPr>
      <w:r w:rsidRPr="00B919A6">
        <w:rPr>
          <w:rFonts w:ascii="Arial" w:hAnsi="Arial" w:cs="Arial"/>
          <w:sz w:val="36"/>
          <w:szCs w:val="36"/>
        </w:rPr>
        <w:t>Roll Number: 24</w:t>
      </w:r>
    </w:p>
    <w:p w14:paraId="48571D97" w14:textId="77777777" w:rsidR="00B919A6" w:rsidRPr="00B919A6" w:rsidRDefault="00B919A6" w:rsidP="00B919A6">
      <w:pPr>
        <w:pStyle w:val="ListParagraph"/>
        <w:numPr>
          <w:ilvl w:val="0"/>
          <w:numId w:val="2"/>
        </w:numPr>
        <w:spacing w:line="600" w:lineRule="auto"/>
        <w:rPr>
          <w:rFonts w:ascii="Arial" w:hAnsi="Arial" w:cs="Arial"/>
          <w:sz w:val="36"/>
          <w:szCs w:val="36"/>
        </w:rPr>
      </w:pPr>
      <w:r w:rsidRPr="00B919A6">
        <w:rPr>
          <w:rFonts w:ascii="Arial" w:hAnsi="Arial" w:cs="Arial"/>
          <w:sz w:val="36"/>
          <w:szCs w:val="36"/>
        </w:rPr>
        <w:t>Date: 10 August 2026</w:t>
      </w:r>
    </w:p>
    <w:p w14:paraId="62D026B3" w14:textId="77777777" w:rsidR="00B919A6" w:rsidRDefault="00B919A6" w:rsidP="00B919A6">
      <w:pPr>
        <w:spacing w:line="600" w:lineRule="auto"/>
        <w:rPr>
          <w:rFonts w:ascii="Arial" w:hAnsi="Arial" w:cs="Arial"/>
          <w:color w:val="000000" w:themeColor="text1"/>
        </w:rPr>
      </w:pPr>
    </w:p>
    <w:p w14:paraId="01F25388" w14:textId="77777777" w:rsidR="00B919A6" w:rsidRDefault="00B919A6" w:rsidP="00945728">
      <w:pPr>
        <w:pStyle w:val="Heading1"/>
        <w:pBdr>
          <w:bottom w:val="single" w:sz="8" w:space="4" w:color="1F3864"/>
        </w:pBdr>
        <w:spacing w:before="300" w:after="150" w:line="360" w:lineRule="auto"/>
        <w:rPr>
          <w:rFonts w:ascii="Arial" w:hAnsi="Arial" w:cs="Arial"/>
          <w:b/>
          <w:bCs/>
          <w:color w:val="000000" w:themeColor="text1"/>
          <w:sz w:val="30"/>
          <w:szCs w:val="30"/>
        </w:rPr>
      </w:pPr>
    </w:p>
    <w:p w14:paraId="57DA95D4" w14:textId="3615EB58"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Note on Data Source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B667A8" w:rsidRPr="00945728" w14:paraId="211213BD"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77B2CA91" w14:textId="4226F998" w:rsidR="00B667A8" w:rsidRPr="00945728" w:rsidRDefault="00421C5F" w:rsidP="00945728">
            <w:pPr>
              <w:spacing w:line="360" w:lineRule="auto"/>
              <w:rPr>
                <w:rFonts w:ascii="Arial" w:hAnsi="Arial" w:cs="Arial"/>
                <w:color w:val="000000" w:themeColor="text1"/>
              </w:rPr>
            </w:pPr>
            <w:r w:rsidRPr="00945728">
              <w:rPr>
                <w:rFonts w:ascii="Arial" w:hAnsi="Arial" w:cs="Arial"/>
                <w:b/>
                <w:bCs/>
                <w:i/>
                <w:iCs/>
                <w:color w:val="000000" w:themeColor="text1"/>
              </w:rPr>
              <w:t xml:space="preserve">Note: </w:t>
            </w:r>
            <w:r w:rsidRPr="00945728">
              <w:rPr>
                <w:rFonts w:ascii="Arial" w:hAnsi="Arial" w:cs="Arial"/>
                <w:i/>
                <w:iCs/>
                <w:color w:val="000000" w:themeColor="text1"/>
              </w:rPr>
              <w:t>This revised report is built directly from the official redBus India Bus</w:t>
            </w:r>
            <w:r w:rsidR="00945728">
              <w:rPr>
                <w:rFonts w:ascii="Arial" w:hAnsi="Arial" w:cs="Arial"/>
                <w:i/>
                <w:iCs/>
                <w:color w:val="000000" w:themeColor="text1"/>
              </w:rPr>
              <w:t xml:space="preserve"> </w:t>
            </w:r>
            <w:r w:rsidRPr="00945728">
              <w:rPr>
                <w:rFonts w:ascii="Arial" w:hAnsi="Arial" w:cs="Arial"/>
                <w:i/>
                <w:iCs/>
                <w:color w:val="000000" w:themeColor="text1"/>
              </w:rPr>
              <w:t>Track FY2025 dataset (annual FY2025 indicators plus the Jan–Mar 2025 snapshot and its Jan–Mar 2024 comparison). All charts, tables and KPIs below have been re-checked against that dataset; any figure not present in it has been removed or replaced with the closest matching official metric.</w:t>
            </w:r>
          </w:p>
        </w:tc>
      </w:tr>
    </w:tbl>
    <w:p w14:paraId="4D8C0543" w14:textId="77777777" w:rsidR="00B667A8" w:rsidRPr="00945728" w:rsidRDefault="00B667A8" w:rsidP="00945728">
      <w:pPr>
        <w:spacing w:after="100" w:line="360" w:lineRule="auto"/>
        <w:rPr>
          <w:rFonts w:ascii="Arial" w:hAnsi="Arial" w:cs="Arial"/>
          <w:color w:val="000000" w:themeColor="text1"/>
        </w:rPr>
      </w:pPr>
    </w:p>
    <w:p w14:paraId="0FB2BFBF"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t>1. Introduction &amp; Objectives</w:t>
      </w:r>
    </w:p>
    <w:p w14:paraId="5772C526" w14:textId="197A9A86"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This report uses the official redBus India Bus</w:t>
      </w:r>
      <w:r w:rsidR="00945728">
        <w:rPr>
          <w:rFonts w:ascii="Arial" w:hAnsi="Arial" w:cs="Arial"/>
          <w:color w:val="000000" w:themeColor="text1"/>
          <w:sz w:val="22"/>
          <w:szCs w:val="22"/>
        </w:rPr>
        <w:t xml:space="preserve"> </w:t>
      </w:r>
      <w:r w:rsidRPr="00945728">
        <w:rPr>
          <w:rFonts w:ascii="Arial" w:hAnsi="Arial" w:cs="Arial"/>
          <w:color w:val="000000" w:themeColor="text1"/>
          <w:sz w:val="22"/>
          <w:szCs w:val="22"/>
        </w:rPr>
        <w:t>Track FY2025 report as its data source. The figures describe both the wider intercity bus market (as tracked by redBus) and redBus's own platform-level indicators for FY2025 (1 April 2024 – 31 March 2025) and the Jan–Mar 2025 quarter.</w:t>
      </w:r>
    </w:p>
    <w:p w14:paraId="69021693" w14:textId="7870C676"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The report is a descriptive study. It presents what the Bus</w:t>
      </w:r>
      <w:r w:rsidR="00945728">
        <w:rPr>
          <w:rFonts w:ascii="Arial" w:hAnsi="Arial" w:cs="Arial"/>
          <w:color w:val="000000" w:themeColor="text1"/>
          <w:sz w:val="22"/>
          <w:szCs w:val="22"/>
        </w:rPr>
        <w:t xml:space="preserve"> </w:t>
      </w:r>
      <w:r w:rsidRPr="00945728">
        <w:rPr>
          <w:rFonts w:ascii="Arial" w:hAnsi="Arial" w:cs="Arial"/>
          <w:color w:val="000000" w:themeColor="text1"/>
          <w:sz w:val="22"/>
          <w:szCs w:val="22"/>
        </w:rPr>
        <w:t>Track data shows and does not attempt to explain why the changes happened.</w:t>
      </w:r>
    </w:p>
    <w:p w14:paraId="1028E218" w14:textId="77777777" w:rsidR="00B667A8" w:rsidRPr="00945728" w:rsidRDefault="00421C5F" w:rsidP="00945728">
      <w:pPr>
        <w:pStyle w:val="Heading2"/>
        <w:spacing w:before="200" w:after="100" w:line="360" w:lineRule="auto"/>
        <w:rPr>
          <w:rFonts w:ascii="Arial" w:hAnsi="Arial" w:cs="Arial"/>
          <w:color w:val="000000" w:themeColor="text1"/>
        </w:rPr>
      </w:pPr>
      <w:r w:rsidRPr="00945728">
        <w:rPr>
          <w:rFonts w:ascii="Arial" w:hAnsi="Arial" w:cs="Arial"/>
          <w:b/>
          <w:bCs/>
          <w:color w:val="000000" w:themeColor="text1"/>
          <w:sz w:val="24"/>
          <w:szCs w:val="24"/>
        </w:rPr>
        <w:t>Objective</w:t>
      </w:r>
    </w:p>
    <w:p w14:paraId="0B765A49" w14:textId="0F86D1B0"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The main objective of this report is to study redBus travel and booking trends using the FY2025 Bus</w:t>
      </w:r>
      <w:r w:rsidR="00945728">
        <w:rPr>
          <w:rFonts w:ascii="Arial" w:hAnsi="Arial" w:cs="Arial"/>
          <w:color w:val="000000" w:themeColor="text1"/>
          <w:sz w:val="22"/>
          <w:szCs w:val="22"/>
        </w:rPr>
        <w:t xml:space="preserve"> </w:t>
      </w:r>
      <w:r w:rsidRPr="00945728">
        <w:rPr>
          <w:rFonts w:ascii="Arial" w:hAnsi="Arial" w:cs="Arial"/>
          <w:color w:val="000000" w:themeColor="text1"/>
          <w:sz w:val="22"/>
          <w:szCs w:val="22"/>
        </w:rPr>
        <w:t>Track dataset and answer the following questions:</w:t>
      </w:r>
    </w:p>
    <w:p w14:paraId="56725266"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How did passengers, gross ticketing value (GTV) and operators grow between Q4 FY24 and Q4 FY25?</w:t>
      </w:r>
    </w:p>
    <w:p w14:paraId="7ACFEF83"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How do Pilgrimage, Leisure and Student travel segments differ in comfort and booking-timing behaviour?</w:t>
      </w:r>
    </w:p>
    <w:p w14:paraId="16247A57"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What type of buses and seats did passengers prefer in FY2025?</w:t>
      </w:r>
    </w:p>
    <w:p w14:paraId="107617ED"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What was the average fare/seat price, and how did it change year-on-year?</w:t>
      </w:r>
    </w:p>
    <w:p w14:paraId="1D809B0B"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Which regions and time-of-day slots accounted for the most travel?</w:t>
      </w:r>
    </w:p>
    <w:p w14:paraId="69C8B475"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How did smaller cities, pilgrimage routes and occupancy vary across the network?</w:t>
      </w:r>
    </w:p>
    <w:p w14:paraId="53BFE6F0" w14:textId="49D12B23"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What are the main findings from the FY2025 Bus</w:t>
      </w:r>
      <w:r w:rsidR="00945728">
        <w:rPr>
          <w:rFonts w:ascii="Arial" w:hAnsi="Arial" w:cs="Arial"/>
          <w:color w:val="000000" w:themeColor="text1"/>
          <w:sz w:val="22"/>
          <w:szCs w:val="22"/>
        </w:rPr>
        <w:t xml:space="preserve"> </w:t>
      </w:r>
      <w:r w:rsidRPr="00945728">
        <w:rPr>
          <w:rFonts w:ascii="Arial" w:hAnsi="Arial" w:cs="Arial"/>
          <w:color w:val="000000" w:themeColor="text1"/>
          <w:sz w:val="22"/>
          <w:szCs w:val="22"/>
        </w:rPr>
        <w:t>Track data?</w:t>
      </w:r>
    </w:p>
    <w:p w14:paraId="040B5763"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42242E68"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2. How This Would Work at Real Scale</w:t>
      </w:r>
    </w:p>
    <w:p w14:paraId="01152387" w14:textId="22524942" w:rsidR="00B667A8" w:rsidRPr="00802D3B" w:rsidRDefault="00421C5F" w:rsidP="00945728">
      <w:pPr>
        <w:spacing w:after="120" w:line="360" w:lineRule="auto"/>
        <w:rPr>
          <w:rFonts w:ascii="Arial" w:hAnsi="Arial" w:cs="Arial"/>
          <w:color w:val="000000" w:themeColor="text1"/>
          <w:sz w:val="24"/>
          <w:szCs w:val="24"/>
        </w:rPr>
      </w:pPr>
      <w:r w:rsidRPr="00802D3B">
        <w:rPr>
          <w:rFonts w:ascii="Arial" w:hAnsi="Arial" w:cs="Arial"/>
          <w:color w:val="000000" w:themeColor="text1"/>
          <w:sz w:val="28"/>
          <w:szCs w:val="28"/>
        </w:rPr>
        <w:t>At a real company, redBus receives a very large number of booking records every day. These records are grouped by date, route, city, bus type, fare and customer segment, and summarised into indicators such as the ones published in the Bus</w:t>
      </w:r>
      <w:r w:rsidR="00945728" w:rsidRPr="00802D3B">
        <w:rPr>
          <w:rFonts w:ascii="Arial" w:hAnsi="Arial" w:cs="Arial"/>
          <w:color w:val="000000" w:themeColor="text1"/>
          <w:sz w:val="28"/>
          <w:szCs w:val="28"/>
        </w:rPr>
        <w:t xml:space="preserve"> </w:t>
      </w:r>
      <w:r w:rsidRPr="00802D3B">
        <w:rPr>
          <w:rFonts w:ascii="Arial" w:hAnsi="Arial" w:cs="Arial"/>
          <w:color w:val="000000" w:themeColor="text1"/>
          <w:sz w:val="28"/>
          <w:szCs w:val="28"/>
        </w:rPr>
        <w:t>Track report. The results are then shown in dashboards for regular business decisions.</w:t>
      </w:r>
    </w:p>
    <w:tbl>
      <w:tblPr>
        <w:tblStyle w:val="TableGrid"/>
        <w:tblpPr w:leftFromText="180" w:rightFromText="180" w:vertAnchor="text" w:horzAnchor="margin" w:tblpXSpec="center" w:tblpY="657"/>
        <w:tblW w:w="9015" w:type="dxa"/>
        <w:tblLook w:val="04A0" w:firstRow="1" w:lastRow="0" w:firstColumn="1" w:lastColumn="0" w:noHBand="0" w:noVBand="1"/>
      </w:tblPr>
      <w:tblGrid>
        <w:gridCol w:w="2504"/>
        <w:gridCol w:w="4207"/>
        <w:gridCol w:w="2304"/>
      </w:tblGrid>
      <w:tr w:rsidR="00802D3B" w:rsidRPr="00802D3B" w14:paraId="248934E7" w14:textId="77777777" w:rsidTr="00802D3B">
        <w:trPr>
          <w:trHeight w:val="1397"/>
        </w:trPr>
        <w:tc>
          <w:tcPr>
            <w:tcW w:w="2504" w:type="dxa"/>
          </w:tcPr>
          <w:p w14:paraId="567D5761"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b/>
                <w:bCs/>
                <w:color w:val="000000" w:themeColor="text1"/>
                <w:sz w:val="24"/>
                <w:szCs w:val="24"/>
              </w:rPr>
              <w:t>Layer</w:t>
            </w:r>
          </w:p>
        </w:tc>
        <w:tc>
          <w:tcPr>
            <w:tcW w:w="4207" w:type="dxa"/>
          </w:tcPr>
          <w:p w14:paraId="218E1528"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b/>
                <w:bCs/>
                <w:color w:val="000000" w:themeColor="text1"/>
                <w:sz w:val="24"/>
                <w:szCs w:val="24"/>
              </w:rPr>
              <w:t>Purpose</w:t>
            </w:r>
          </w:p>
        </w:tc>
        <w:tc>
          <w:tcPr>
            <w:tcW w:w="2304" w:type="dxa"/>
          </w:tcPr>
          <w:p w14:paraId="62CE6F1A"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b/>
                <w:bCs/>
                <w:color w:val="000000" w:themeColor="text1"/>
                <w:sz w:val="24"/>
                <w:szCs w:val="24"/>
              </w:rPr>
              <w:t>Simple tools</w:t>
            </w:r>
          </w:p>
        </w:tc>
      </w:tr>
      <w:tr w:rsidR="00802D3B" w:rsidRPr="00802D3B" w14:paraId="567C47C5" w14:textId="77777777" w:rsidTr="00802D3B">
        <w:trPr>
          <w:trHeight w:val="1397"/>
        </w:trPr>
        <w:tc>
          <w:tcPr>
            <w:tcW w:w="2504" w:type="dxa"/>
          </w:tcPr>
          <w:p w14:paraId="3EBF5071"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Data collection</w:t>
            </w:r>
          </w:p>
        </w:tc>
        <w:tc>
          <w:tcPr>
            <w:tcW w:w="4207" w:type="dxa"/>
          </w:tcPr>
          <w:p w14:paraId="4C7DE6AD"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Collect booking and travel information</w:t>
            </w:r>
          </w:p>
        </w:tc>
        <w:tc>
          <w:tcPr>
            <w:tcW w:w="2304" w:type="dxa"/>
          </w:tcPr>
          <w:p w14:paraId="15075CB5"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Website / App</w:t>
            </w:r>
          </w:p>
        </w:tc>
      </w:tr>
      <w:tr w:rsidR="00802D3B" w:rsidRPr="00802D3B" w14:paraId="39B772CD" w14:textId="77777777" w:rsidTr="00802D3B">
        <w:trPr>
          <w:trHeight w:val="1397"/>
        </w:trPr>
        <w:tc>
          <w:tcPr>
            <w:tcW w:w="2504" w:type="dxa"/>
          </w:tcPr>
          <w:p w14:paraId="78DA3D5C"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Data cleaning</w:t>
            </w:r>
          </w:p>
        </w:tc>
        <w:tc>
          <w:tcPr>
            <w:tcW w:w="4207" w:type="dxa"/>
          </w:tcPr>
          <w:p w14:paraId="6770E8BB"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Check missing or incorrect records</w:t>
            </w:r>
          </w:p>
        </w:tc>
        <w:tc>
          <w:tcPr>
            <w:tcW w:w="2304" w:type="dxa"/>
          </w:tcPr>
          <w:p w14:paraId="719D46F1"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Excel / Python</w:t>
            </w:r>
          </w:p>
        </w:tc>
      </w:tr>
      <w:tr w:rsidR="00802D3B" w:rsidRPr="00802D3B" w14:paraId="706888CB" w14:textId="77777777" w:rsidTr="00802D3B">
        <w:trPr>
          <w:trHeight w:val="1397"/>
        </w:trPr>
        <w:tc>
          <w:tcPr>
            <w:tcW w:w="2504" w:type="dxa"/>
          </w:tcPr>
          <w:p w14:paraId="4DBC0800"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Analysis</w:t>
            </w:r>
          </w:p>
        </w:tc>
        <w:tc>
          <w:tcPr>
            <w:tcW w:w="4207" w:type="dxa"/>
          </w:tcPr>
          <w:p w14:paraId="418BC68F"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Find totals, averages and trends</w:t>
            </w:r>
          </w:p>
        </w:tc>
        <w:tc>
          <w:tcPr>
            <w:tcW w:w="2304" w:type="dxa"/>
          </w:tcPr>
          <w:p w14:paraId="2A4D3EA2"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Excel / Python</w:t>
            </w:r>
          </w:p>
        </w:tc>
      </w:tr>
      <w:tr w:rsidR="00802D3B" w:rsidRPr="00802D3B" w14:paraId="610F39BB" w14:textId="77777777" w:rsidTr="00802D3B">
        <w:trPr>
          <w:trHeight w:val="1397"/>
        </w:trPr>
        <w:tc>
          <w:tcPr>
            <w:tcW w:w="2504" w:type="dxa"/>
          </w:tcPr>
          <w:p w14:paraId="7554B992"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Charts</w:t>
            </w:r>
          </w:p>
        </w:tc>
        <w:tc>
          <w:tcPr>
            <w:tcW w:w="4207" w:type="dxa"/>
          </w:tcPr>
          <w:p w14:paraId="4E60108C"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Show the results clearly</w:t>
            </w:r>
          </w:p>
        </w:tc>
        <w:tc>
          <w:tcPr>
            <w:tcW w:w="2304" w:type="dxa"/>
          </w:tcPr>
          <w:p w14:paraId="5667A419"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Excel / Power BI</w:t>
            </w:r>
          </w:p>
        </w:tc>
      </w:tr>
      <w:tr w:rsidR="00802D3B" w:rsidRPr="00802D3B" w14:paraId="19BACB78" w14:textId="77777777" w:rsidTr="00802D3B">
        <w:trPr>
          <w:trHeight w:val="1397"/>
        </w:trPr>
        <w:tc>
          <w:tcPr>
            <w:tcW w:w="2504" w:type="dxa"/>
          </w:tcPr>
          <w:p w14:paraId="2026B54B"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Report</w:t>
            </w:r>
          </w:p>
        </w:tc>
        <w:tc>
          <w:tcPr>
            <w:tcW w:w="4207" w:type="dxa"/>
          </w:tcPr>
          <w:p w14:paraId="0805C97A"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Explain the main findings</w:t>
            </w:r>
          </w:p>
        </w:tc>
        <w:tc>
          <w:tcPr>
            <w:tcW w:w="2304" w:type="dxa"/>
          </w:tcPr>
          <w:p w14:paraId="610F0EE2" w14:textId="77777777" w:rsidR="00802D3B" w:rsidRPr="00802D3B" w:rsidRDefault="00802D3B" w:rsidP="00802D3B">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t>MS Word / PDF</w:t>
            </w:r>
          </w:p>
        </w:tc>
      </w:tr>
    </w:tbl>
    <w:p w14:paraId="56326925" w14:textId="77777777" w:rsidR="00B667A8" w:rsidRPr="00802D3B" w:rsidRDefault="00421C5F" w:rsidP="00945728">
      <w:pPr>
        <w:spacing w:line="360" w:lineRule="auto"/>
        <w:rPr>
          <w:rFonts w:ascii="Arial" w:hAnsi="Arial" w:cs="Arial"/>
          <w:color w:val="000000" w:themeColor="text1"/>
          <w:sz w:val="24"/>
          <w:szCs w:val="24"/>
        </w:rPr>
      </w:pPr>
      <w:r w:rsidRPr="00802D3B">
        <w:rPr>
          <w:rFonts w:ascii="Arial" w:hAnsi="Arial" w:cs="Arial"/>
          <w:color w:val="000000" w:themeColor="text1"/>
          <w:sz w:val="24"/>
          <w:szCs w:val="24"/>
        </w:rPr>
        <w:br w:type="page"/>
      </w:r>
    </w:p>
    <w:p w14:paraId="66F88D93"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3. Q4 FY25 vs Q4 FY24 Growth</w:t>
      </w:r>
    </w:p>
    <w:p w14:paraId="685C3823" w14:textId="729A3E3B"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The Bus</w:t>
      </w:r>
      <w:r w:rsidR="00945728">
        <w:rPr>
          <w:rFonts w:ascii="Arial" w:hAnsi="Arial" w:cs="Arial"/>
          <w:color w:val="000000" w:themeColor="text1"/>
          <w:sz w:val="22"/>
          <w:szCs w:val="22"/>
        </w:rPr>
        <w:t xml:space="preserve"> </w:t>
      </w:r>
      <w:r w:rsidRPr="00945728">
        <w:rPr>
          <w:rFonts w:ascii="Arial" w:hAnsi="Arial" w:cs="Arial"/>
          <w:color w:val="000000" w:themeColor="text1"/>
          <w:sz w:val="22"/>
          <w:szCs w:val="22"/>
        </w:rPr>
        <w:t>Track Jan–Mar 2025 snapshot can be compared with the Jan–Mar 2024 figures it reports alongside it. Passengers grew from 50.90 million to 59.59 million, and gross ticketing value (GTV) grew from ₹49.31 billion to ₹59.62 billion.</w:t>
      </w:r>
    </w:p>
    <w:p w14:paraId="34E27A98" w14:textId="77777777" w:rsidR="00B667A8" w:rsidRPr="00945728" w:rsidRDefault="00421C5F" w:rsidP="00945728">
      <w:pPr>
        <w:spacing w:after="150" w:line="360" w:lineRule="auto"/>
        <w:jc w:val="center"/>
        <w:rPr>
          <w:rFonts w:ascii="Arial" w:hAnsi="Arial" w:cs="Arial"/>
          <w:color w:val="000000" w:themeColor="text1"/>
        </w:rPr>
      </w:pPr>
      <w:r w:rsidRPr="00945728">
        <w:rPr>
          <w:rFonts w:ascii="Arial" w:hAnsi="Arial" w:cs="Arial"/>
          <w:noProof/>
          <w:color w:val="000000" w:themeColor="text1"/>
        </w:rPr>
        <w:drawing>
          <wp:inline distT="0" distB="0" distL="0" distR="0" wp14:anchorId="20228460" wp14:editId="673D155D">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57500"/>
                    </a:xfrm>
                    <a:prstGeom prst="rect">
                      <a:avLst/>
                    </a:prstGeom>
                  </pic:spPr>
                </pic:pic>
              </a:graphicData>
            </a:graphic>
          </wp:inline>
        </w:drawing>
      </w:r>
    </w:p>
    <w:p w14:paraId="6F85F7ED"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b/>
          <w:bCs/>
          <w:color w:val="000000" w:themeColor="text1"/>
          <w:sz w:val="22"/>
          <w:szCs w:val="22"/>
        </w:rPr>
        <w:t>INSIGHTS:</w:t>
      </w:r>
    </w:p>
    <w:p w14:paraId="01852FB8"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Passenger volume grew 17.07% year-on-year in Q4.</w:t>
      </w:r>
    </w:p>
    <w:p w14:paraId="6D84599E"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GTV grew faster than passenger volume, at 20.91%, reflecting the 3.41% rise in average seat price.</w:t>
      </w:r>
    </w:p>
    <w:p w14:paraId="096EEFF3"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The active private-operator base grew 14.54%, roughly in line with passenger growth.</w:t>
      </w:r>
    </w:p>
    <w:p w14:paraId="7FF7EB5B" w14:textId="0850CEEA"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All four figures are calculated directly from the official Q4 FY25 / Q4 FY24 Bus</w:t>
      </w:r>
      <w:r w:rsidR="008E5FD0">
        <w:rPr>
          <w:rFonts w:ascii="Arial" w:hAnsi="Arial" w:cs="Arial"/>
          <w:color w:val="000000" w:themeColor="text1"/>
          <w:sz w:val="22"/>
          <w:szCs w:val="22"/>
        </w:rPr>
        <w:t xml:space="preserve"> </w:t>
      </w:r>
      <w:r w:rsidRPr="00945728">
        <w:rPr>
          <w:rFonts w:ascii="Arial" w:hAnsi="Arial" w:cs="Arial"/>
          <w:color w:val="000000" w:themeColor="text1"/>
          <w:sz w:val="22"/>
          <w:szCs w:val="22"/>
        </w:rPr>
        <w:t>Track comparison.</w:t>
      </w:r>
    </w:p>
    <w:tbl>
      <w:tblPr>
        <w:tblStyle w:val="TableGrid"/>
        <w:tblW w:w="5000" w:type="pct"/>
        <w:tblLook w:val="04A0" w:firstRow="1" w:lastRow="0" w:firstColumn="1" w:lastColumn="0" w:noHBand="0" w:noVBand="1"/>
      </w:tblPr>
      <w:tblGrid>
        <w:gridCol w:w="2650"/>
        <w:gridCol w:w="7420"/>
      </w:tblGrid>
      <w:tr w:rsidR="00B667A8" w:rsidRPr="00945728" w14:paraId="17BDE884" w14:textId="77777777" w:rsidTr="00423D74">
        <w:tc>
          <w:tcPr>
            <w:tcW w:w="2500" w:type="dxa"/>
          </w:tcPr>
          <w:p w14:paraId="650CF718"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KPI</w:t>
            </w:r>
          </w:p>
        </w:tc>
        <w:tc>
          <w:tcPr>
            <w:tcW w:w="7000" w:type="dxa"/>
          </w:tcPr>
          <w:p w14:paraId="3D70496E"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Passenger Growth Rate</w:t>
            </w:r>
          </w:p>
        </w:tc>
      </w:tr>
      <w:tr w:rsidR="00B667A8" w:rsidRPr="00945728" w14:paraId="6E56FEB5" w14:textId="77777777" w:rsidTr="00423D74">
        <w:tc>
          <w:tcPr>
            <w:tcW w:w="2500" w:type="dxa"/>
          </w:tcPr>
          <w:p w14:paraId="6B8DC47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Formula</w:t>
            </w:r>
          </w:p>
        </w:tc>
        <w:tc>
          <w:tcPr>
            <w:tcW w:w="7000" w:type="dxa"/>
          </w:tcPr>
          <w:p w14:paraId="38B762D3"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 FY25 passengers − Q4 FY24 passengers) ÷ Q4 FY24 passengers × 100</w:t>
            </w:r>
          </w:p>
        </w:tc>
      </w:tr>
      <w:tr w:rsidR="00B667A8" w:rsidRPr="00945728" w14:paraId="43801246" w14:textId="77777777" w:rsidTr="00423D74">
        <w:tc>
          <w:tcPr>
            <w:tcW w:w="2500" w:type="dxa"/>
          </w:tcPr>
          <w:p w14:paraId="1A765F97"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FY2025 / Q4 result</w:t>
            </w:r>
          </w:p>
        </w:tc>
        <w:tc>
          <w:tcPr>
            <w:tcW w:w="7000" w:type="dxa"/>
          </w:tcPr>
          <w:p w14:paraId="4A3DE4D1"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17.07% (59.59M vs 50.90M)</w:t>
            </w:r>
          </w:p>
        </w:tc>
      </w:tr>
    </w:tbl>
    <w:p w14:paraId="2349D3EF" w14:textId="77777777" w:rsidR="00B667A8" w:rsidRPr="00945728" w:rsidRDefault="00421C5F" w:rsidP="00945728">
      <w:pPr>
        <w:shd w:val="clear" w:color="auto" w:fill="FFF2CC"/>
        <w:spacing w:before="80" w:after="200" w:line="360" w:lineRule="auto"/>
        <w:rPr>
          <w:rFonts w:ascii="Arial" w:hAnsi="Arial" w:cs="Arial"/>
          <w:color w:val="000000" w:themeColor="text1"/>
        </w:rPr>
      </w:pPr>
      <w:r w:rsidRPr="00945728">
        <w:rPr>
          <w:rFonts w:ascii="Arial" w:hAnsi="Arial" w:cs="Arial"/>
          <w:b/>
          <w:bCs/>
          <w:color w:val="000000" w:themeColor="text1"/>
        </w:rPr>
        <w:t xml:space="preserve">KPI Insight: </w:t>
      </w:r>
      <w:r w:rsidRPr="00945728">
        <w:rPr>
          <w:rFonts w:ascii="Arial" w:hAnsi="Arial" w:cs="Arial"/>
          <w:color w:val="000000" w:themeColor="text1"/>
        </w:rPr>
        <w:t>Passenger volume grew by just over 17% year-on-year in the Jan–Mar quarter, the base rate against which the faster GTV growth (20.91%) can be compared.</w:t>
      </w:r>
    </w:p>
    <w:p w14:paraId="62543CC2"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54ABBC83"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4. Segment-Level Growth Indicators</w:t>
      </w:r>
    </w:p>
    <w:p w14:paraId="5B6BC5DB" w14:textId="77836F46"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Beyond the overall Q4 comparison, Bus</w:t>
      </w:r>
      <w:r w:rsidR="008E5FD0">
        <w:rPr>
          <w:rFonts w:ascii="Arial" w:hAnsi="Arial" w:cs="Arial"/>
          <w:color w:val="000000" w:themeColor="text1"/>
          <w:sz w:val="22"/>
          <w:szCs w:val="22"/>
        </w:rPr>
        <w:t xml:space="preserve"> </w:t>
      </w:r>
      <w:r w:rsidRPr="00945728">
        <w:rPr>
          <w:rFonts w:ascii="Arial" w:hAnsi="Arial" w:cs="Arial"/>
          <w:color w:val="000000" w:themeColor="text1"/>
          <w:sz w:val="22"/>
          <w:szCs w:val="22"/>
        </w:rPr>
        <w:t>Track reports one FY2025 year-on-year growth figure at segment level: Student segment rides grew 26% year-on-year. A second, much larger, growth figure applies to a specific pilgrimage route (Tiruchendur–Thanjavur, +860%), covered in Section 13.</w:t>
      </w:r>
    </w:p>
    <w:tbl>
      <w:tblPr>
        <w:tblStyle w:val="TableGrid"/>
        <w:tblW w:w="10894" w:type="dxa"/>
        <w:tblBorders>
          <w:bottom w:val="none" w:sz="0" w:space="0" w:color="auto"/>
        </w:tblBorders>
        <w:tblLook w:val="04A0" w:firstRow="1" w:lastRow="0" w:firstColumn="1" w:lastColumn="0" w:noHBand="0" w:noVBand="1"/>
      </w:tblPr>
      <w:tblGrid>
        <w:gridCol w:w="5449"/>
        <w:gridCol w:w="2420"/>
        <w:gridCol w:w="3025"/>
      </w:tblGrid>
      <w:tr w:rsidR="00B667A8" w:rsidRPr="00945728" w14:paraId="0A1DB6C2" w14:textId="77777777" w:rsidTr="00802D3B">
        <w:trPr>
          <w:trHeight w:val="1078"/>
        </w:trPr>
        <w:tc>
          <w:tcPr>
            <w:tcW w:w="5449" w:type="dxa"/>
          </w:tcPr>
          <w:p w14:paraId="50923B59"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Indicator</w:t>
            </w:r>
          </w:p>
        </w:tc>
        <w:tc>
          <w:tcPr>
            <w:tcW w:w="2420" w:type="dxa"/>
          </w:tcPr>
          <w:p w14:paraId="14FBA88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Value</w:t>
            </w:r>
          </w:p>
        </w:tc>
        <w:tc>
          <w:tcPr>
            <w:tcW w:w="3025" w:type="dxa"/>
          </w:tcPr>
          <w:p w14:paraId="157D7C7E"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Period</w:t>
            </w:r>
          </w:p>
        </w:tc>
      </w:tr>
      <w:tr w:rsidR="00B667A8" w:rsidRPr="00945728" w14:paraId="04B726DB" w14:textId="77777777" w:rsidTr="00802D3B">
        <w:trPr>
          <w:trHeight w:val="1024"/>
        </w:trPr>
        <w:tc>
          <w:tcPr>
            <w:tcW w:w="5449" w:type="dxa"/>
          </w:tcPr>
          <w:p w14:paraId="30F8E0CE"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Passenger growth</w:t>
            </w:r>
          </w:p>
        </w:tc>
        <w:tc>
          <w:tcPr>
            <w:tcW w:w="2420" w:type="dxa"/>
          </w:tcPr>
          <w:p w14:paraId="56D51EBE"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17.07%</w:t>
            </w:r>
          </w:p>
        </w:tc>
        <w:tc>
          <w:tcPr>
            <w:tcW w:w="3025" w:type="dxa"/>
          </w:tcPr>
          <w:p w14:paraId="49094C0B"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 FY25 vs Q4 FY24</w:t>
            </w:r>
          </w:p>
        </w:tc>
      </w:tr>
      <w:tr w:rsidR="00B667A8" w:rsidRPr="00945728" w14:paraId="6A20D943" w14:textId="77777777" w:rsidTr="00802D3B">
        <w:trPr>
          <w:trHeight w:val="1078"/>
        </w:trPr>
        <w:tc>
          <w:tcPr>
            <w:tcW w:w="5449" w:type="dxa"/>
          </w:tcPr>
          <w:p w14:paraId="015A3F68"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GTV growth</w:t>
            </w:r>
          </w:p>
        </w:tc>
        <w:tc>
          <w:tcPr>
            <w:tcW w:w="2420" w:type="dxa"/>
          </w:tcPr>
          <w:p w14:paraId="7E3F33D2"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20.91%</w:t>
            </w:r>
          </w:p>
        </w:tc>
        <w:tc>
          <w:tcPr>
            <w:tcW w:w="3025" w:type="dxa"/>
          </w:tcPr>
          <w:p w14:paraId="59B40496"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 FY25 vs Q4 FY24</w:t>
            </w:r>
          </w:p>
        </w:tc>
      </w:tr>
      <w:tr w:rsidR="00B667A8" w:rsidRPr="00945728" w14:paraId="7CD0307B" w14:textId="77777777" w:rsidTr="00802D3B">
        <w:trPr>
          <w:trHeight w:val="1078"/>
        </w:trPr>
        <w:tc>
          <w:tcPr>
            <w:tcW w:w="5449" w:type="dxa"/>
          </w:tcPr>
          <w:p w14:paraId="093BD954"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Average seat price growth</w:t>
            </w:r>
          </w:p>
        </w:tc>
        <w:tc>
          <w:tcPr>
            <w:tcW w:w="2420" w:type="dxa"/>
          </w:tcPr>
          <w:p w14:paraId="580D13E7"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3.41%</w:t>
            </w:r>
          </w:p>
        </w:tc>
        <w:tc>
          <w:tcPr>
            <w:tcW w:w="3025" w:type="dxa"/>
          </w:tcPr>
          <w:p w14:paraId="08C15B17"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 FY25 vs Q4 FY24</w:t>
            </w:r>
          </w:p>
        </w:tc>
      </w:tr>
      <w:tr w:rsidR="00B667A8" w:rsidRPr="00945728" w14:paraId="48405831" w14:textId="77777777" w:rsidTr="00802D3B">
        <w:trPr>
          <w:trHeight w:val="1078"/>
        </w:trPr>
        <w:tc>
          <w:tcPr>
            <w:tcW w:w="5449" w:type="dxa"/>
          </w:tcPr>
          <w:p w14:paraId="59E0E88D"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Active private-operator growth</w:t>
            </w:r>
          </w:p>
        </w:tc>
        <w:tc>
          <w:tcPr>
            <w:tcW w:w="2420" w:type="dxa"/>
          </w:tcPr>
          <w:p w14:paraId="24464B75"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14.54%</w:t>
            </w:r>
          </w:p>
        </w:tc>
        <w:tc>
          <w:tcPr>
            <w:tcW w:w="3025" w:type="dxa"/>
          </w:tcPr>
          <w:p w14:paraId="37C98000"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 FY25 vs Q4 FY24</w:t>
            </w:r>
          </w:p>
        </w:tc>
      </w:tr>
      <w:tr w:rsidR="00B667A8" w:rsidRPr="00945728" w14:paraId="3D90A61C" w14:textId="77777777" w:rsidTr="00802D3B">
        <w:trPr>
          <w:trHeight w:val="1024"/>
        </w:trPr>
        <w:tc>
          <w:tcPr>
            <w:tcW w:w="5449" w:type="dxa"/>
          </w:tcPr>
          <w:p w14:paraId="6784219F"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Student segment ride growth</w:t>
            </w:r>
          </w:p>
        </w:tc>
        <w:tc>
          <w:tcPr>
            <w:tcW w:w="2420" w:type="dxa"/>
          </w:tcPr>
          <w:p w14:paraId="530AB816"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26%</w:t>
            </w:r>
          </w:p>
        </w:tc>
        <w:tc>
          <w:tcPr>
            <w:tcW w:w="3025" w:type="dxa"/>
          </w:tcPr>
          <w:p w14:paraId="5D451056"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FY2025 YoY</w:t>
            </w:r>
          </w:p>
        </w:tc>
      </w:tr>
      <w:tr w:rsidR="00B667A8" w:rsidRPr="00945728" w14:paraId="5716CD08" w14:textId="77777777" w:rsidTr="00802D3B">
        <w:trPr>
          <w:trHeight w:val="772"/>
        </w:trPr>
        <w:tc>
          <w:tcPr>
            <w:tcW w:w="5449" w:type="dxa"/>
            <w:tcBorders>
              <w:bottom w:val="single" w:sz="4" w:space="0" w:color="auto"/>
            </w:tcBorders>
          </w:tcPr>
          <w:p w14:paraId="7141451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Tiruchendur–Thanjavur pilgrimage route growth</w:t>
            </w:r>
          </w:p>
        </w:tc>
        <w:tc>
          <w:tcPr>
            <w:tcW w:w="2420" w:type="dxa"/>
            <w:tcBorders>
              <w:bottom w:val="single" w:sz="4" w:space="0" w:color="auto"/>
            </w:tcBorders>
          </w:tcPr>
          <w:p w14:paraId="7004FAD7"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860%</w:t>
            </w:r>
          </w:p>
        </w:tc>
        <w:tc>
          <w:tcPr>
            <w:tcW w:w="3025" w:type="dxa"/>
            <w:tcBorders>
              <w:bottom w:val="single" w:sz="4" w:space="0" w:color="auto"/>
            </w:tcBorders>
          </w:tcPr>
          <w:p w14:paraId="0A1808D0"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FY2025 YoY</w:t>
            </w:r>
          </w:p>
        </w:tc>
      </w:tr>
    </w:tbl>
    <w:p w14:paraId="03FC7BE5" w14:textId="77777777" w:rsidR="00802D3B" w:rsidRDefault="00802D3B" w:rsidP="00945728">
      <w:pPr>
        <w:spacing w:after="120" w:line="360" w:lineRule="auto"/>
        <w:rPr>
          <w:rFonts w:ascii="Arial" w:hAnsi="Arial" w:cs="Arial"/>
          <w:b/>
          <w:bCs/>
          <w:color w:val="000000" w:themeColor="text1"/>
          <w:sz w:val="22"/>
          <w:szCs w:val="22"/>
        </w:rPr>
      </w:pPr>
    </w:p>
    <w:p w14:paraId="409F92A9" w14:textId="77777777" w:rsidR="00802D3B" w:rsidRDefault="00802D3B" w:rsidP="00945728">
      <w:pPr>
        <w:spacing w:after="120" w:line="360" w:lineRule="auto"/>
        <w:rPr>
          <w:rFonts w:ascii="Arial" w:hAnsi="Arial" w:cs="Arial"/>
          <w:b/>
          <w:bCs/>
          <w:color w:val="000000" w:themeColor="text1"/>
          <w:sz w:val="22"/>
          <w:szCs w:val="22"/>
        </w:rPr>
      </w:pPr>
    </w:p>
    <w:p w14:paraId="20C491F6" w14:textId="0829A4AF" w:rsidR="00B667A8" w:rsidRPr="00945728" w:rsidRDefault="00421C5F" w:rsidP="00945728">
      <w:pPr>
        <w:spacing w:after="120" w:line="360" w:lineRule="auto"/>
        <w:rPr>
          <w:rFonts w:ascii="Arial" w:hAnsi="Arial" w:cs="Arial"/>
          <w:color w:val="000000" w:themeColor="text1"/>
        </w:rPr>
      </w:pPr>
      <w:r w:rsidRPr="00945728">
        <w:rPr>
          <w:rFonts w:ascii="Arial" w:hAnsi="Arial" w:cs="Arial"/>
          <w:b/>
          <w:bCs/>
          <w:color w:val="000000" w:themeColor="text1"/>
          <w:sz w:val="22"/>
          <w:szCs w:val="22"/>
        </w:rPr>
        <w:t>INSIGHTS:</w:t>
      </w:r>
    </w:p>
    <w:p w14:paraId="30204CFB"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Growth was broad-based across passengers, revenue and the operator base.</w:t>
      </w:r>
    </w:p>
    <w:p w14:paraId="6235FF04"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The Student segment grew faster (26%) than the overall passenger base (17.07%).</w:t>
      </w:r>
    </w:p>
    <w:p w14:paraId="4C852162"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One pilgrimage route saw an extreme, event-driven surge, shown separately in Section 13 so it does not distort the general growth picture.</w:t>
      </w:r>
    </w:p>
    <w:p w14:paraId="2A5E79C8"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0572A495"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5. Travel Purpose — Segment Comparison</w:t>
      </w:r>
    </w:p>
    <w:p w14:paraId="1A20A114" w14:textId="27000775"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Bus</w:t>
      </w:r>
      <w:r w:rsidR="008E5FD0">
        <w:rPr>
          <w:rFonts w:ascii="Arial" w:hAnsi="Arial" w:cs="Arial"/>
          <w:color w:val="000000" w:themeColor="text1"/>
          <w:sz w:val="22"/>
          <w:szCs w:val="22"/>
        </w:rPr>
        <w:t xml:space="preserve"> </w:t>
      </w:r>
      <w:r w:rsidRPr="00945728">
        <w:rPr>
          <w:rFonts w:ascii="Arial" w:hAnsi="Arial" w:cs="Arial"/>
          <w:color w:val="000000" w:themeColor="text1"/>
          <w:sz w:val="22"/>
          <w:szCs w:val="22"/>
        </w:rPr>
        <w:t>Track profiles three travel-purpose segments — Pilgrimage, Leisure and Student — each with its own comfort and booking-timing pattern.</w:t>
      </w:r>
    </w:p>
    <w:p w14:paraId="70D03189" w14:textId="77777777" w:rsidR="00B667A8" w:rsidRPr="00945728" w:rsidRDefault="00421C5F" w:rsidP="00945728">
      <w:pPr>
        <w:spacing w:after="150" w:line="360" w:lineRule="auto"/>
        <w:jc w:val="center"/>
        <w:rPr>
          <w:rFonts w:ascii="Arial" w:hAnsi="Arial" w:cs="Arial"/>
          <w:color w:val="000000" w:themeColor="text1"/>
        </w:rPr>
      </w:pPr>
      <w:r w:rsidRPr="00945728">
        <w:rPr>
          <w:rFonts w:ascii="Arial" w:hAnsi="Arial" w:cs="Arial"/>
          <w:noProof/>
          <w:color w:val="000000" w:themeColor="text1"/>
        </w:rPr>
        <w:drawing>
          <wp:inline distT="0" distB="0" distL="0" distR="0" wp14:anchorId="2D697D5C" wp14:editId="3D5E9746">
            <wp:extent cx="6057900" cy="2981325"/>
            <wp:effectExtent l="0" t="0" r="0" b="9525"/>
            <wp:docPr id="1743341533" name="Picture 174334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57900" cy="2981325"/>
                    </a:xfrm>
                    <a:prstGeom prst="rect">
                      <a:avLst/>
                    </a:prstGeom>
                  </pic:spPr>
                </pic:pic>
              </a:graphicData>
            </a:graphic>
          </wp:inline>
        </w:drawing>
      </w:r>
    </w:p>
    <w:tbl>
      <w:tblPr>
        <w:tblStyle w:val="TableGrid"/>
        <w:tblW w:w="11052" w:type="dxa"/>
        <w:tblInd w:w="-494" w:type="dxa"/>
        <w:tblLook w:val="04A0" w:firstRow="1" w:lastRow="0" w:firstColumn="1" w:lastColumn="0" w:noHBand="0" w:noVBand="1"/>
      </w:tblPr>
      <w:tblGrid>
        <w:gridCol w:w="2139"/>
        <w:gridCol w:w="2139"/>
        <w:gridCol w:w="2805"/>
        <w:gridCol w:w="3969"/>
      </w:tblGrid>
      <w:tr w:rsidR="00B667A8" w:rsidRPr="00945728" w14:paraId="20C0FFF5" w14:textId="77777777" w:rsidTr="00802D3B">
        <w:trPr>
          <w:trHeight w:val="957"/>
        </w:trPr>
        <w:tc>
          <w:tcPr>
            <w:tcW w:w="2139" w:type="dxa"/>
          </w:tcPr>
          <w:p w14:paraId="7E095A97" w14:textId="77777777" w:rsidR="00B667A8" w:rsidRPr="00802D3B" w:rsidRDefault="00421C5F" w:rsidP="00945728">
            <w:pPr>
              <w:spacing w:line="360" w:lineRule="auto"/>
              <w:rPr>
                <w:rFonts w:ascii="Arial" w:hAnsi="Arial" w:cs="Arial"/>
                <w:color w:val="000000" w:themeColor="text1"/>
                <w:sz w:val="28"/>
                <w:szCs w:val="28"/>
              </w:rPr>
            </w:pPr>
            <w:r w:rsidRPr="00802D3B">
              <w:rPr>
                <w:rFonts w:ascii="Arial" w:hAnsi="Arial" w:cs="Arial"/>
                <w:b/>
                <w:bCs/>
                <w:color w:val="000000" w:themeColor="text1"/>
                <w:sz w:val="28"/>
                <w:szCs w:val="28"/>
              </w:rPr>
              <w:t>Segment</w:t>
            </w:r>
          </w:p>
        </w:tc>
        <w:tc>
          <w:tcPr>
            <w:tcW w:w="2139" w:type="dxa"/>
          </w:tcPr>
          <w:p w14:paraId="47E53C94" w14:textId="77777777" w:rsidR="00B667A8" w:rsidRPr="00802D3B" w:rsidRDefault="00421C5F" w:rsidP="00945728">
            <w:pPr>
              <w:spacing w:line="360" w:lineRule="auto"/>
              <w:rPr>
                <w:rFonts w:ascii="Arial" w:hAnsi="Arial" w:cs="Arial"/>
                <w:color w:val="000000" w:themeColor="text1"/>
                <w:sz w:val="28"/>
                <w:szCs w:val="28"/>
              </w:rPr>
            </w:pPr>
            <w:r w:rsidRPr="00802D3B">
              <w:rPr>
                <w:rFonts w:ascii="Arial" w:hAnsi="Arial" w:cs="Arial"/>
                <w:b/>
                <w:bCs/>
                <w:color w:val="000000" w:themeColor="text1"/>
                <w:sz w:val="28"/>
                <w:szCs w:val="28"/>
              </w:rPr>
              <w:t>AC preference</w:t>
            </w:r>
          </w:p>
        </w:tc>
        <w:tc>
          <w:tcPr>
            <w:tcW w:w="2805" w:type="dxa"/>
          </w:tcPr>
          <w:p w14:paraId="4051DEFE" w14:textId="77777777" w:rsidR="00B667A8" w:rsidRPr="00802D3B" w:rsidRDefault="00421C5F" w:rsidP="00945728">
            <w:pPr>
              <w:spacing w:line="360" w:lineRule="auto"/>
              <w:rPr>
                <w:rFonts w:ascii="Arial" w:hAnsi="Arial" w:cs="Arial"/>
                <w:color w:val="000000" w:themeColor="text1"/>
                <w:sz w:val="28"/>
                <w:szCs w:val="28"/>
              </w:rPr>
            </w:pPr>
            <w:r w:rsidRPr="00802D3B">
              <w:rPr>
                <w:rFonts w:ascii="Arial" w:hAnsi="Arial" w:cs="Arial"/>
                <w:b/>
                <w:bCs/>
                <w:color w:val="000000" w:themeColor="text1"/>
                <w:sz w:val="28"/>
                <w:szCs w:val="28"/>
              </w:rPr>
              <w:t>Same-day booking</w:t>
            </w:r>
          </w:p>
        </w:tc>
        <w:tc>
          <w:tcPr>
            <w:tcW w:w="3969" w:type="dxa"/>
          </w:tcPr>
          <w:p w14:paraId="1FE49F53" w14:textId="77777777" w:rsidR="00B667A8" w:rsidRPr="00802D3B" w:rsidRDefault="00421C5F" w:rsidP="00945728">
            <w:pPr>
              <w:spacing w:line="360" w:lineRule="auto"/>
              <w:rPr>
                <w:rFonts w:ascii="Arial" w:hAnsi="Arial" w:cs="Arial"/>
                <w:color w:val="000000" w:themeColor="text1"/>
                <w:sz w:val="28"/>
                <w:szCs w:val="28"/>
              </w:rPr>
            </w:pPr>
            <w:r w:rsidRPr="00802D3B">
              <w:rPr>
                <w:rFonts w:ascii="Arial" w:hAnsi="Arial" w:cs="Arial"/>
                <w:b/>
                <w:bCs/>
                <w:color w:val="000000" w:themeColor="text1"/>
                <w:sz w:val="28"/>
                <w:szCs w:val="28"/>
              </w:rPr>
              <w:t>Other notable share</w:t>
            </w:r>
          </w:p>
        </w:tc>
      </w:tr>
      <w:tr w:rsidR="00B667A8" w:rsidRPr="00945728" w14:paraId="12C20A6F" w14:textId="77777777" w:rsidTr="00802D3B">
        <w:trPr>
          <w:trHeight w:val="733"/>
        </w:trPr>
        <w:tc>
          <w:tcPr>
            <w:tcW w:w="2139" w:type="dxa"/>
          </w:tcPr>
          <w:p w14:paraId="27281473"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Pilgrimage</w:t>
            </w:r>
          </w:p>
        </w:tc>
        <w:tc>
          <w:tcPr>
            <w:tcW w:w="2139" w:type="dxa"/>
          </w:tcPr>
          <w:p w14:paraId="47A54D54"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78%</w:t>
            </w:r>
          </w:p>
        </w:tc>
        <w:tc>
          <w:tcPr>
            <w:tcW w:w="2805" w:type="dxa"/>
          </w:tcPr>
          <w:p w14:paraId="2B946948"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46%</w:t>
            </w:r>
          </w:p>
        </w:tc>
        <w:tc>
          <w:tcPr>
            <w:tcW w:w="3969" w:type="dxa"/>
          </w:tcPr>
          <w:p w14:paraId="7797B9DB"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w:t>
            </w:r>
          </w:p>
        </w:tc>
      </w:tr>
      <w:tr w:rsidR="00B667A8" w:rsidRPr="00945728" w14:paraId="2F1039F3" w14:textId="77777777" w:rsidTr="00802D3B">
        <w:trPr>
          <w:trHeight w:val="696"/>
        </w:trPr>
        <w:tc>
          <w:tcPr>
            <w:tcW w:w="2139" w:type="dxa"/>
          </w:tcPr>
          <w:p w14:paraId="3917122D"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Leisure</w:t>
            </w:r>
          </w:p>
        </w:tc>
        <w:tc>
          <w:tcPr>
            <w:tcW w:w="2139" w:type="dxa"/>
          </w:tcPr>
          <w:p w14:paraId="4521179F"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86%</w:t>
            </w:r>
          </w:p>
        </w:tc>
        <w:tc>
          <w:tcPr>
            <w:tcW w:w="2805" w:type="dxa"/>
          </w:tcPr>
          <w:p w14:paraId="21940F59"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37%</w:t>
            </w:r>
          </w:p>
        </w:tc>
        <w:tc>
          <w:tcPr>
            <w:tcW w:w="3969" w:type="dxa"/>
          </w:tcPr>
          <w:p w14:paraId="481D81F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Overnight trips 74%; Sleeper 52%</w:t>
            </w:r>
          </w:p>
        </w:tc>
      </w:tr>
      <w:tr w:rsidR="00B667A8" w:rsidRPr="00945728" w14:paraId="243F331F" w14:textId="77777777" w:rsidTr="00802D3B">
        <w:trPr>
          <w:trHeight w:val="806"/>
        </w:trPr>
        <w:tc>
          <w:tcPr>
            <w:tcW w:w="2139" w:type="dxa"/>
          </w:tcPr>
          <w:p w14:paraId="1C8BE8DC"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Student</w:t>
            </w:r>
          </w:p>
        </w:tc>
        <w:tc>
          <w:tcPr>
            <w:tcW w:w="2139" w:type="dxa"/>
          </w:tcPr>
          <w:p w14:paraId="3E7101A2"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66%</w:t>
            </w:r>
          </w:p>
        </w:tc>
        <w:tc>
          <w:tcPr>
            <w:tcW w:w="2805" w:type="dxa"/>
          </w:tcPr>
          <w:p w14:paraId="10588928"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56%</w:t>
            </w:r>
          </w:p>
        </w:tc>
        <w:tc>
          <w:tcPr>
            <w:tcW w:w="3969" w:type="dxa"/>
          </w:tcPr>
          <w:p w14:paraId="2F928D30"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Male 69% / Female 31%; Sleeper 62%; Night travel (10PM–6AM) 25%</w:t>
            </w:r>
          </w:p>
        </w:tc>
      </w:tr>
    </w:tbl>
    <w:p w14:paraId="2798E715"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b/>
          <w:bCs/>
          <w:color w:val="000000" w:themeColor="text1"/>
          <w:sz w:val="22"/>
          <w:szCs w:val="22"/>
        </w:rPr>
        <w:t>INSIGHTS:</w:t>
      </w:r>
    </w:p>
    <w:p w14:paraId="2FE5DAA9"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Leisure travellers had the highest AC preference (86%) among the three segments.</w:t>
      </w:r>
    </w:p>
    <w:p w14:paraId="20024A8E"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Student travellers booked same-day most often (56%), suggesting less advance planning than Pilgrimage or Leisure travellers.</w:t>
      </w:r>
    </w:p>
    <w:p w14:paraId="12F2F62A"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Leisure travel had a strong overnight-trip share (74%), consistent with longer weekend or holiday journeys.</w:t>
      </w:r>
    </w:p>
    <w:p w14:paraId="0DDA752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10CD7FD0"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6. Bus Comfort Preference</w:t>
      </w:r>
    </w:p>
    <w:p w14:paraId="36AD00D7"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Passengers showed a strong preference for AC buses. AC buses made up 67% of FY2025 bookings; the Q4 FY25 snapshot shows a very similar 68% AC share.</w:t>
      </w:r>
    </w:p>
    <w:p w14:paraId="26060D60" w14:textId="77777777" w:rsidR="00B667A8" w:rsidRPr="00945728" w:rsidRDefault="00421C5F" w:rsidP="00945728">
      <w:pPr>
        <w:spacing w:after="150" w:line="360" w:lineRule="auto"/>
        <w:jc w:val="center"/>
        <w:rPr>
          <w:rFonts w:ascii="Arial" w:hAnsi="Arial" w:cs="Arial"/>
          <w:color w:val="000000" w:themeColor="text1"/>
        </w:rPr>
      </w:pPr>
      <w:r w:rsidRPr="00945728">
        <w:rPr>
          <w:rFonts w:ascii="Arial" w:hAnsi="Arial" w:cs="Arial"/>
          <w:noProof/>
          <w:color w:val="000000" w:themeColor="text1"/>
        </w:rPr>
        <w:drawing>
          <wp:inline distT="0" distB="0" distL="0" distR="0" wp14:anchorId="2F74CD2A" wp14:editId="46AB84BF">
            <wp:extent cx="4491512" cy="3781425"/>
            <wp:effectExtent l="0" t="0" r="4445" b="0"/>
            <wp:docPr id="1460825659" name="Picture 146082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37100" cy="3819805"/>
                    </a:xfrm>
                    <a:prstGeom prst="rect">
                      <a:avLst/>
                    </a:prstGeom>
                  </pic:spPr>
                </pic:pic>
              </a:graphicData>
            </a:graphic>
          </wp:inline>
        </w:drawing>
      </w:r>
    </w:p>
    <w:p w14:paraId="513BEA79"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b/>
          <w:bCs/>
          <w:color w:val="000000" w:themeColor="text1"/>
          <w:sz w:val="22"/>
          <w:szCs w:val="22"/>
        </w:rPr>
        <w:t>INSIGHTS:</w:t>
      </w:r>
    </w:p>
    <w:p w14:paraId="029F128E"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Just over two-thirds of bookings were for AC buses in FY2025.</w:t>
      </w:r>
    </w:p>
    <w:p w14:paraId="2B9788F6"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The AC share stayed stable between the FY2025 annual figure (67%) and the Q4 FY25 quarter (68%).</w:t>
      </w:r>
    </w:p>
    <w:p w14:paraId="6F6E01C2"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Non-AC buses retained roughly a third of bookings.</w:t>
      </w:r>
    </w:p>
    <w:tbl>
      <w:tblPr>
        <w:tblStyle w:val="TableGrid"/>
        <w:tblW w:w="5297" w:type="pct"/>
        <w:tblLook w:val="04A0" w:firstRow="1" w:lastRow="0" w:firstColumn="1" w:lastColumn="0" w:noHBand="0" w:noVBand="1"/>
      </w:tblPr>
      <w:tblGrid>
        <w:gridCol w:w="2807"/>
        <w:gridCol w:w="7861"/>
      </w:tblGrid>
      <w:tr w:rsidR="00B667A8" w:rsidRPr="00945728" w14:paraId="6EAE1C61" w14:textId="77777777" w:rsidTr="00802D3B">
        <w:trPr>
          <w:trHeight w:val="779"/>
        </w:trPr>
        <w:tc>
          <w:tcPr>
            <w:tcW w:w="2807" w:type="dxa"/>
          </w:tcPr>
          <w:p w14:paraId="6A466FC0" w14:textId="77777777" w:rsidR="00B667A8" w:rsidRPr="00802D3B" w:rsidRDefault="00421C5F" w:rsidP="00945728">
            <w:pPr>
              <w:spacing w:line="360" w:lineRule="auto"/>
              <w:rPr>
                <w:rFonts w:ascii="Arial" w:hAnsi="Arial" w:cs="Arial"/>
                <w:color w:val="000000" w:themeColor="text1"/>
                <w:sz w:val="24"/>
                <w:szCs w:val="24"/>
              </w:rPr>
            </w:pPr>
            <w:r w:rsidRPr="00802D3B">
              <w:rPr>
                <w:rFonts w:ascii="Arial" w:hAnsi="Arial" w:cs="Arial"/>
                <w:b/>
                <w:bCs/>
                <w:color w:val="000000" w:themeColor="text1"/>
                <w:sz w:val="24"/>
                <w:szCs w:val="24"/>
              </w:rPr>
              <w:t>KPI</w:t>
            </w:r>
          </w:p>
        </w:tc>
        <w:tc>
          <w:tcPr>
            <w:tcW w:w="7861" w:type="dxa"/>
          </w:tcPr>
          <w:p w14:paraId="2B3A17C1" w14:textId="77777777" w:rsidR="00B667A8" w:rsidRPr="00802D3B" w:rsidRDefault="00421C5F" w:rsidP="00945728">
            <w:pPr>
              <w:spacing w:line="360" w:lineRule="auto"/>
              <w:rPr>
                <w:rFonts w:ascii="Arial" w:hAnsi="Arial" w:cs="Arial"/>
                <w:color w:val="000000" w:themeColor="text1"/>
                <w:sz w:val="24"/>
                <w:szCs w:val="24"/>
              </w:rPr>
            </w:pPr>
            <w:r w:rsidRPr="00802D3B">
              <w:rPr>
                <w:rFonts w:ascii="Arial" w:hAnsi="Arial" w:cs="Arial"/>
                <w:b/>
                <w:bCs/>
                <w:color w:val="000000" w:themeColor="text1"/>
                <w:sz w:val="24"/>
                <w:szCs w:val="24"/>
              </w:rPr>
              <w:t>AC Booking Share</w:t>
            </w:r>
          </w:p>
        </w:tc>
      </w:tr>
      <w:tr w:rsidR="00B667A8" w:rsidRPr="00945728" w14:paraId="594243DE" w14:textId="77777777" w:rsidTr="00802D3B">
        <w:trPr>
          <w:trHeight w:val="740"/>
        </w:trPr>
        <w:tc>
          <w:tcPr>
            <w:tcW w:w="2807" w:type="dxa"/>
          </w:tcPr>
          <w:p w14:paraId="2883AA34"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Formula</w:t>
            </w:r>
          </w:p>
        </w:tc>
        <w:tc>
          <w:tcPr>
            <w:tcW w:w="7861" w:type="dxa"/>
          </w:tcPr>
          <w:p w14:paraId="5E255532"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AC bookings ÷ Total bookings × 100</w:t>
            </w:r>
          </w:p>
        </w:tc>
      </w:tr>
      <w:tr w:rsidR="00B667A8" w:rsidRPr="00945728" w14:paraId="370D8E06" w14:textId="77777777" w:rsidTr="00802D3B">
        <w:trPr>
          <w:trHeight w:val="779"/>
        </w:trPr>
        <w:tc>
          <w:tcPr>
            <w:tcW w:w="2807" w:type="dxa"/>
          </w:tcPr>
          <w:p w14:paraId="5E327A48"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FY2025 / Q4 result</w:t>
            </w:r>
          </w:p>
        </w:tc>
        <w:tc>
          <w:tcPr>
            <w:tcW w:w="7861" w:type="dxa"/>
          </w:tcPr>
          <w:p w14:paraId="518A05CE"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67% (FY2025 annual); 68% (Q4 FY25)</w:t>
            </w:r>
          </w:p>
        </w:tc>
      </w:tr>
    </w:tbl>
    <w:p w14:paraId="1E0E3C05" w14:textId="77777777" w:rsidR="00B667A8" w:rsidRPr="00945728" w:rsidRDefault="00421C5F" w:rsidP="00945728">
      <w:pPr>
        <w:shd w:val="clear" w:color="auto" w:fill="FFF2CC"/>
        <w:spacing w:before="80" w:after="200" w:line="360" w:lineRule="auto"/>
        <w:rPr>
          <w:rFonts w:ascii="Arial" w:hAnsi="Arial" w:cs="Arial"/>
          <w:color w:val="000000" w:themeColor="text1"/>
        </w:rPr>
      </w:pPr>
      <w:r w:rsidRPr="00945728">
        <w:rPr>
          <w:rFonts w:ascii="Arial" w:hAnsi="Arial" w:cs="Arial"/>
          <w:b/>
          <w:bCs/>
          <w:color w:val="000000" w:themeColor="text1"/>
        </w:rPr>
        <w:t xml:space="preserve">KPI Insight: </w:t>
      </w:r>
      <w:r w:rsidRPr="00945728">
        <w:rPr>
          <w:rFonts w:ascii="Arial" w:hAnsi="Arial" w:cs="Arial"/>
          <w:color w:val="000000" w:themeColor="text1"/>
        </w:rPr>
        <w:t>Comfort remains the dominant driver of bus-type choice, with roughly two out of three passengers booking AC buses.</w:t>
      </w:r>
    </w:p>
    <w:p w14:paraId="23215C5E"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51E13FBD"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7. Seat Type Preference</w:t>
      </w:r>
    </w:p>
    <w:p w14:paraId="49571B56"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Sleeper seats were the most common seat type in FY2025, followed by hybrid and seater options.</w:t>
      </w:r>
    </w:p>
    <w:p w14:paraId="2DC09EBD" w14:textId="77777777" w:rsidR="00B667A8" w:rsidRPr="00945728" w:rsidRDefault="00421C5F" w:rsidP="00945728">
      <w:pPr>
        <w:spacing w:after="150" w:line="360" w:lineRule="auto"/>
        <w:jc w:val="center"/>
        <w:rPr>
          <w:rFonts w:ascii="Arial" w:hAnsi="Arial" w:cs="Arial"/>
          <w:color w:val="000000" w:themeColor="text1"/>
        </w:rPr>
      </w:pPr>
      <w:r w:rsidRPr="00945728">
        <w:rPr>
          <w:rFonts w:ascii="Arial" w:hAnsi="Arial" w:cs="Arial"/>
          <w:noProof/>
          <w:color w:val="000000" w:themeColor="text1"/>
        </w:rPr>
        <w:drawing>
          <wp:inline distT="0" distB="0" distL="0" distR="0" wp14:anchorId="3A5D0D93" wp14:editId="126BE8A0">
            <wp:extent cx="6927850" cy="5457825"/>
            <wp:effectExtent l="0" t="0" r="6350" b="9525"/>
            <wp:docPr id="2135764620" name="Picture 213576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941729" cy="5468759"/>
                    </a:xfrm>
                    <a:prstGeom prst="rect">
                      <a:avLst/>
                    </a:prstGeom>
                  </pic:spPr>
                </pic:pic>
              </a:graphicData>
            </a:graphic>
          </wp:inline>
        </w:drawing>
      </w:r>
    </w:p>
    <w:p w14:paraId="2145B0B5" w14:textId="77777777" w:rsidR="008E5FD0" w:rsidRDefault="008E5FD0" w:rsidP="00945728">
      <w:pPr>
        <w:spacing w:after="120" w:line="360" w:lineRule="auto"/>
        <w:rPr>
          <w:rFonts w:ascii="Arial" w:hAnsi="Arial" w:cs="Arial"/>
          <w:b/>
          <w:bCs/>
          <w:color w:val="000000" w:themeColor="text1"/>
          <w:sz w:val="22"/>
          <w:szCs w:val="22"/>
        </w:rPr>
      </w:pPr>
    </w:p>
    <w:p w14:paraId="51969319" w14:textId="50C7EFC1" w:rsidR="00B667A8" w:rsidRPr="00945728" w:rsidRDefault="00421C5F" w:rsidP="00945728">
      <w:pPr>
        <w:spacing w:after="120" w:line="360" w:lineRule="auto"/>
        <w:rPr>
          <w:rFonts w:ascii="Arial" w:hAnsi="Arial" w:cs="Arial"/>
          <w:color w:val="000000" w:themeColor="text1"/>
        </w:rPr>
      </w:pPr>
      <w:r w:rsidRPr="00945728">
        <w:rPr>
          <w:rFonts w:ascii="Arial" w:hAnsi="Arial" w:cs="Arial"/>
          <w:b/>
          <w:bCs/>
          <w:color w:val="000000" w:themeColor="text1"/>
          <w:sz w:val="22"/>
          <w:szCs w:val="22"/>
        </w:rPr>
        <w:t>INSIGHTS:</w:t>
      </w:r>
    </w:p>
    <w:p w14:paraId="18960924"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Sleeper seats had the highest share at 51%.</w:t>
      </w:r>
    </w:p>
    <w:p w14:paraId="4EE96280"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Hybrid seats had a 33% share.</w:t>
      </w:r>
    </w:p>
    <w:p w14:paraId="6A7499B8"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Seater-only buses had the smallest share, at 16%.</w:t>
      </w:r>
    </w:p>
    <w:p w14:paraId="163A2427"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The Q4 FY25 snapshot (Sleeper 51%, Hybrid 34%, Seater 15%) closely matches the FY2025 annual figures.</w:t>
      </w:r>
    </w:p>
    <w:p w14:paraId="4F89ACC1"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6FB557FB"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8. Passenger Origin &amp; Student Profile</w:t>
      </w:r>
    </w:p>
    <w:p w14:paraId="1AFD194B"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BusTrack reports passenger origin by city tier rather than by age group. Non-metro (Tier 2 &amp; 3) cities accounted for the majority of FY2025 passengers. Within the Student segment, BusTrack additionally reports a gender split.</w:t>
      </w:r>
    </w:p>
    <w:p w14:paraId="7AC0154E" w14:textId="77777777" w:rsidR="00B667A8" w:rsidRPr="00945728" w:rsidRDefault="00421C5F" w:rsidP="00945728">
      <w:pPr>
        <w:spacing w:after="150" w:line="360" w:lineRule="auto"/>
        <w:jc w:val="center"/>
        <w:rPr>
          <w:rFonts w:ascii="Arial" w:hAnsi="Arial" w:cs="Arial"/>
          <w:color w:val="000000" w:themeColor="text1"/>
        </w:rPr>
      </w:pPr>
      <w:r w:rsidRPr="00945728">
        <w:rPr>
          <w:rFonts w:ascii="Arial" w:hAnsi="Arial" w:cs="Arial"/>
          <w:noProof/>
          <w:color w:val="000000" w:themeColor="text1"/>
        </w:rPr>
        <w:drawing>
          <wp:inline distT="0" distB="0" distL="0" distR="0" wp14:anchorId="5924187C" wp14:editId="7655A0DD">
            <wp:extent cx="6343650" cy="6343650"/>
            <wp:effectExtent l="0" t="0" r="0" b="0"/>
            <wp:docPr id="1243957661" name="Picture 12439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56218" cy="6356218"/>
                    </a:xfrm>
                    <a:prstGeom prst="rect">
                      <a:avLst/>
                    </a:prstGeom>
                  </pic:spPr>
                </pic:pic>
              </a:graphicData>
            </a:graphic>
          </wp:inline>
        </w:drawing>
      </w:r>
    </w:p>
    <w:p w14:paraId="35FE40FB" w14:textId="77777777" w:rsidR="00B667A8" w:rsidRPr="00945728" w:rsidRDefault="00421C5F" w:rsidP="00945728">
      <w:pPr>
        <w:spacing w:after="150" w:line="360" w:lineRule="auto"/>
        <w:jc w:val="center"/>
        <w:rPr>
          <w:rFonts w:ascii="Arial" w:hAnsi="Arial" w:cs="Arial"/>
          <w:color w:val="000000" w:themeColor="text1"/>
        </w:rPr>
      </w:pPr>
      <w:r w:rsidRPr="00945728">
        <w:rPr>
          <w:rFonts w:ascii="Arial" w:hAnsi="Arial" w:cs="Arial"/>
          <w:noProof/>
          <w:color w:val="000000" w:themeColor="text1"/>
        </w:rPr>
        <w:lastRenderedPageBreak/>
        <w:drawing>
          <wp:inline distT="0" distB="0" distL="0" distR="0" wp14:anchorId="2BA63C82" wp14:editId="236C13A8">
            <wp:extent cx="3238500" cy="3238500"/>
            <wp:effectExtent l="0" t="0" r="0" b="0"/>
            <wp:docPr id="1991563875" name="Picture 1991563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3238500"/>
                    </a:xfrm>
                    <a:prstGeom prst="rect">
                      <a:avLst/>
                    </a:prstGeom>
                  </pic:spPr>
                </pic:pic>
              </a:graphicData>
            </a:graphic>
          </wp:inline>
        </w:drawing>
      </w:r>
    </w:p>
    <w:p w14:paraId="760FA988"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b/>
          <w:bCs/>
          <w:color w:val="000000" w:themeColor="text1"/>
          <w:sz w:val="22"/>
          <w:szCs w:val="22"/>
        </w:rPr>
        <w:t>INSIGHTS:</w:t>
      </w:r>
    </w:p>
    <w:p w14:paraId="51E7CA21"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Non-metro (Tier 2 &amp; 3) origins accounted for 68% of FY2025 passengers, more than double the six-metro share (32%).</w:t>
      </w:r>
    </w:p>
    <w:p w14:paraId="44423A6A"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Within the Student segment, male riders (69%) outnumbered female riders (31%).</w:t>
      </w:r>
    </w:p>
    <w:p w14:paraId="3BC7D9F6"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The origin split confirms that demand is not concentrated in the six largest metro cities.</w:t>
      </w:r>
    </w:p>
    <w:tbl>
      <w:tblPr>
        <w:tblStyle w:val="TableGrid"/>
        <w:tblW w:w="5297" w:type="pct"/>
        <w:tblLook w:val="04A0" w:firstRow="1" w:lastRow="0" w:firstColumn="1" w:lastColumn="0" w:noHBand="0" w:noVBand="1"/>
      </w:tblPr>
      <w:tblGrid>
        <w:gridCol w:w="2807"/>
        <w:gridCol w:w="7861"/>
      </w:tblGrid>
      <w:tr w:rsidR="00B667A8" w:rsidRPr="00945728" w14:paraId="58D95AC4" w14:textId="77777777" w:rsidTr="00802D3B">
        <w:trPr>
          <w:trHeight w:val="961"/>
        </w:trPr>
        <w:tc>
          <w:tcPr>
            <w:tcW w:w="2807" w:type="dxa"/>
          </w:tcPr>
          <w:p w14:paraId="7D0189F4" w14:textId="77777777" w:rsidR="00B667A8" w:rsidRPr="00802D3B" w:rsidRDefault="00421C5F" w:rsidP="00945728">
            <w:pPr>
              <w:spacing w:line="360" w:lineRule="auto"/>
              <w:rPr>
                <w:rFonts w:ascii="Arial" w:hAnsi="Arial" w:cs="Arial"/>
                <w:color w:val="000000" w:themeColor="text1"/>
                <w:sz w:val="28"/>
                <w:szCs w:val="28"/>
              </w:rPr>
            </w:pPr>
            <w:r w:rsidRPr="00802D3B">
              <w:rPr>
                <w:rFonts w:ascii="Arial" w:hAnsi="Arial" w:cs="Arial"/>
                <w:b/>
                <w:bCs/>
                <w:color w:val="000000" w:themeColor="text1"/>
                <w:sz w:val="28"/>
                <w:szCs w:val="28"/>
              </w:rPr>
              <w:t>KPI</w:t>
            </w:r>
          </w:p>
        </w:tc>
        <w:tc>
          <w:tcPr>
            <w:tcW w:w="7861" w:type="dxa"/>
          </w:tcPr>
          <w:p w14:paraId="3F1662CE" w14:textId="77777777" w:rsidR="00B667A8" w:rsidRPr="00802D3B" w:rsidRDefault="00421C5F" w:rsidP="00945728">
            <w:pPr>
              <w:spacing w:line="360" w:lineRule="auto"/>
              <w:rPr>
                <w:rFonts w:ascii="Arial" w:hAnsi="Arial" w:cs="Arial"/>
                <w:color w:val="000000" w:themeColor="text1"/>
                <w:sz w:val="28"/>
                <w:szCs w:val="28"/>
              </w:rPr>
            </w:pPr>
            <w:r w:rsidRPr="00802D3B">
              <w:rPr>
                <w:rFonts w:ascii="Arial" w:hAnsi="Arial" w:cs="Arial"/>
                <w:b/>
                <w:bCs/>
                <w:color w:val="000000" w:themeColor="text1"/>
                <w:sz w:val="28"/>
                <w:szCs w:val="28"/>
              </w:rPr>
              <w:t>Non-Metro Origin Share</w:t>
            </w:r>
          </w:p>
        </w:tc>
      </w:tr>
      <w:tr w:rsidR="00B667A8" w:rsidRPr="00945728" w14:paraId="7FCBD6E0" w14:textId="77777777" w:rsidTr="00802D3B">
        <w:trPr>
          <w:trHeight w:val="914"/>
        </w:trPr>
        <w:tc>
          <w:tcPr>
            <w:tcW w:w="2807" w:type="dxa"/>
          </w:tcPr>
          <w:p w14:paraId="257BFA8E"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Formula</w:t>
            </w:r>
          </w:p>
        </w:tc>
        <w:tc>
          <w:tcPr>
            <w:tcW w:w="7861" w:type="dxa"/>
          </w:tcPr>
          <w:p w14:paraId="2047DBE6"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Non-metro (Tier 2 &amp; 3) passengers ÷ Total passengers × 100</w:t>
            </w:r>
          </w:p>
        </w:tc>
      </w:tr>
      <w:tr w:rsidR="00B667A8" w:rsidRPr="00945728" w14:paraId="28DD9BB2" w14:textId="77777777" w:rsidTr="00802D3B">
        <w:trPr>
          <w:trHeight w:val="961"/>
        </w:trPr>
        <w:tc>
          <w:tcPr>
            <w:tcW w:w="2807" w:type="dxa"/>
          </w:tcPr>
          <w:p w14:paraId="49FF44C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FY2025 / Q4 result</w:t>
            </w:r>
          </w:p>
        </w:tc>
        <w:tc>
          <w:tcPr>
            <w:tcW w:w="7861" w:type="dxa"/>
          </w:tcPr>
          <w:p w14:paraId="60FEC522"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68% (FY2025)</w:t>
            </w:r>
          </w:p>
        </w:tc>
      </w:tr>
    </w:tbl>
    <w:p w14:paraId="58AAB62F" w14:textId="77777777" w:rsidR="00B667A8" w:rsidRPr="00945728" w:rsidRDefault="00421C5F" w:rsidP="00945728">
      <w:pPr>
        <w:shd w:val="clear" w:color="auto" w:fill="FFF2CC"/>
        <w:spacing w:before="80" w:after="200" w:line="360" w:lineRule="auto"/>
        <w:rPr>
          <w:rFonts w:ascii="Arial" w:hAnsi="Arial" w:cs="Arial"/>
          <w:color w:val="000000" w:themeColor="text1"/>
        </w:rPr>
      </w:pPr>
      <w:r w:rsidRPr="00945728">
        <w:rPr>
          <w:rFonts w:ascii="Arial" w:hAnsi="Arial" w:cs="Arial"/>
          <w:b/>
          <w:bCs/>
          <w:color w:val="000000" w:themeColor="text1"/>
        </w:rPr>
        <w:t xml:space="preserve">KPI Insight: </w:t>
      </w:r>
      <w:r w:rsidRPr="00945728">
        <w:rPr>
          <w:rFonts w:ascii="Arial" w:hAnsi="Arial" w:cs="Arial"/>
          <w:color w:val="000000" w:themeColor="text1"/>
        </w:rPr>
        <w:t>More than two-thirds of FY2025 passengers originated outside the six major metro cities, underlining the importance of smaller-city demand.</w:t>
      </w:r>
    </w:p>
    <w:p w14:paraId="281BFD98"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54DC85DC"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9. Ticket Price / Fare Analysis</w:t>
      </w:r>
    </w:p>
    <w:p w14:paraId="2B083A5D"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The FY2025 annual average fare was ₹969 per seat. At quarter level, the average seat price rose from ₹968 in Q4 FY24 to ₹1,001 in Q4 FY25.</w:t>
      </w:r>
    </w:p>
    <w:p w14:paraId="75B3DBC5" w14:textId="77777777" w:rsidR="00B667A8" w:rsidRPr="00945728" w:rsidRDefault="00421C5F" w:rsidP="00945728">
      <w:pPr>
        <w:spacing w:after="150" w:line="360" w:lineRule="auto"/>
        <w:jc w:val="center"/>
        <w:rPr>
          <w:rFonts w:ascii="Arial" w:hAnsi="Arial" w:cs="Arial"/>
          <w:color w:val="000000" w:themeColor="text1"/>
        </w:rPr>
      </w:pPr>
      <w:r w:rsidRPr="00945728">
        <w:rPr>
          <w:rFonts w:ascii="Arial" w:hAnsi="Arial" w:cs="Arial"/>
          <w:noProof/>
          <w:color w:val="000000" w:themeColor="text1"/>
        </w:rPr>
        <w:drawing>
          <wp:inline distT="0" distB="0" distL="0" distR="0" wp14:anchorId="043AD200" wp14:editId="485E1072">
            <wp:extent cx="5296747" cy="3310467"/>
            <wp:effectExtent l="0" t="0" r="0" b="4445"/>
            <wp:docPr id="1167018355" name="Picture 116701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8357" cy="3317723"/>
                    </a:xfrm>
                    <a:prstGeom prst="rect">
                      <a:avLst/>
                    </a:prstGeom>
                  </pic:spPr>
                </pic:pic>
              </a:graphicData>
            </a:graphic>
          </wp:inline>
        </w:drawing>
      </w:r>
    </w:p>
    <w:p w14:paraId="10031A8B"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b/>
          <w:bCs/>
          <w:color w:val="000000" w:themeColor="text1"/>
          <w:sz w:val="22"/>
          <w:szCs w:val="22"/>
        </w:rPr>
        <w:t>INSIGHTS:</w:t>
      </w:r>
    </w:p>
    <w:p w14:paraId="621DF147"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The Q4 FY25 average seat price (₹1,001) grew 3.41% over Q4 FY24 (₹968).</w:t>
      </w:r>
    </w:p>
    <w:p w14:paraId="31BE2622"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The FY2025 full-year average fare (₹969) sits close to the Q4 FY24 level, consistent with prices rising through the year.</w:t>
      </w:r>
    </w:p>
    <w:p w14:paraId="66C9AB0F"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The dataset does not report a separate Maharashtra-specific average fare; Maharashtra &amp; Goa's contribution is instead measured by seat share (Section 12).</w:t>
      </w:r>
    </w:p>
    <w:tbl>
      <w:tblPr>
        <w:tblStyle w:val="TableGrid"/>
        <w:tblW w:w="5177" w:type="pct"/>
        <w:tblLook w:val="04A0" w:firstRow="1" w:lastRow="0" w:firstColumn="1" w:lastColumn="0" w:noHBand="0" w:noVBand="1"/>
      </w:tblPr>
      <w:tblGrid>
        <w:gridCol w:w="2743"/>
        <w:gridCol w:w="7683"/>
      </w:tblGrid>
      <w:tr w:rsidR="00B667A8" w:rsidRPr="00945728" w14:paraId="0896EB61" w14:textId="77777777" w:rsidTr="00802D3B">
        <w:trPr>
          <w:trHeight w:val="662"/>
        </w:trPr>
        <w:tc>
          <w:tcPr>
            <w:tcW w:w="2743" w:type="dxa"/>
          </w:tcPr>
          <w:p w14:paraId="61B44DF1" w14:textId="77777777" w:rsidR="00B667A8" w:rsidRPr="00802D3B" w:rsidRDefault="00421C5F" w:rsidP="00945728">
            <w:pPr>
              <w:spacing w:line="360" w:lineRule="auto"/>
              <w:rPr>
                <w:rFonts w:ascii="Arial" w:hAnsi="Arial" w:cs="Arial"/>
                <w:color w:val="000000" w:themeColor="text1"/>
                <w:sz w:val="28"/>
                <w:szCs w:val="28"/>
              </w:rPr>
            </w:pPr>
            <w:r w:rsidRPr="00802D3B">
              <w:rPr>
                <w:rFonts w:ascii="Arial" w:hAnsi="Arial" w:cs="Arial"/>
                <w:b/>
                <w:bCs/>
                <w:color w:val="000000" w:themeColor="text1"/>
                <w:sz w:val="28"/>
                <w:szCs w:val="28"/>
              </w:rPr>
              <w:t>KPI</w:t>
            </w:r>
          </w:p>
        </w:tc>
        <w:tc>
          <w:tcPr>
            <w:tcW w:w="7684" w:type="dxa"/>
          </w:tcPr>
          <w:p w14:paraId="5D1EFB2E" w14:textId="77777777" w:rsidR="00B667A8" w:rsidRPr="00802D3B" w:rsidRDefault="00421C5F" w:rsidP="00945728">
            <w:pPr>
              <w:spacing w:line="360" w:lineRule="auto"/>
              <w:rPr>
                <w:rFonts w:ascii="Arial" w:hAnsi="Arial" w:cs="Arial"/>
                <w:color w:val="000000" w:themeColor="text1"/>
                <w:sz w:val="28"/>
                <w:szCs w:val="28"/>
              </w:rPr>
            </w:pPr>
            <w:r w:rsidRPr="00802D3B">
              <w:rPr>
                <w:rFonts w:ascii="Arial" w:hAnsi="Arial" w:cs="Arial"/>
                <w:b/>
                <w:bCs/>
                <w:color w:val="000000" w:themeColor="text1"/>
                <w:sz w:val="28"/>
                <w:szCs w:val="28"/>
              </w:rPr>
              <w:t>Average Seat Price Growth</w:t>
            </w:r>
          </w:p>
        </w:tc>
      </w:tr>
      <w:tr w:rsidR="00B667A8" w:rsidRPr="00945728" w14:paraId="7247F179" w14:textId="77777777" w:rsidTr="00802D3B">
        <w:trPr>
          <w:trHeight w:val="1324"/>
        </w:trPr>
        <w:tc>
          <w:tcPr>
            <w:tcW w:w="2743" w:type="dxa"/>
          </w:tcPr>
          <w:p w14:paraId="20D0AFA6"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Formula</w:t>
            </w:r>
          </w:p>
        </w:tc>
        <w:tc>
          <w:tcPr>
            <w:tcW w:w="7684" w:type="dxa"/>
          </w:tcPr>
          <w:p w14:paraId="00EF2AC1"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 FY25 avg seat price − Q4 FY24 avg seat price) ÷ Q4 FY24 avg seat price × 100</w:t>
            </w:r>
          </w:p>
        </w:tc>
      </w:tr>
      <w:tr w:rsidR="00B667A8" w:rsidRPr="00945728" w14:paraId="7A34B29E" w14:textId="77777777" w:rsidTr="00802D3B">
        <w:trPr>
          <w:trHeight w:val="629"/>
        </w:trPr>
        <w:tc>
          <w:tcPr>
            <w:tcW w:w="2743" w:type="dxa"/>
          </w:tcPr>
          <w:p w14:paraId="4D07941C"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FY2025 / Q4 result</w:t>
            </w:r>
          </w:p>
        </w:tc>
        <w:tc>
          <w:tcPr>
            <w:tcW w:w="7684" w:type="dxa"/>
          </w:tcPr>
          <w:p w14:paraId="36C9E3CB"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3.41% (₹968 → ₹1,001)</w:t>
            </w:r>
          </w:p>
        </w:tc>
      </w:tr>
    </w:tbl>
    <w:p w14:paraId="52B5495D" w14:textId="77777777" w:rsidR="00B667A8" w:rsidRPr="00945728" w:rsidRDefault="00421C5F" w:rsidP="00945728">
      <w:pPr>
        <w:shd w:val="clear" w:color="auto" w:fill="FFF2CC"/>
        <w:spacing w:before="80" w:after="200" w:line="360" w:lineRule="auto"/>
        <w:rPr>
          <w:rFonts w:ascii="Arial" w:hAnsi="Arial" w:cs="Arial"/>
          <w:color w:val="000000" w:themeColor="text1"/>
        </w:rPr>
      </w:pPr>
      <w:r w:rsidRPr="00945728">
        <w:rPr>
          <w:rFonts w:ascii="Arial" w:hAnsi="Arial" w:cs="Arial"/>
          <w:b/>
          <w:bCs/>
          <w:color w:val="000000" w:themeColor="text1"/>
        </w:rPr>
        <w:t xml:space="preserve">KPI Insight: </w:t>
      </w:r>
      <w:r w:rsidRPr="00945728">
        <w:rPr>
          <w:rFonts w:ascii="Arial" w:hAnsi="Arial" w:cs="Arial"/>
          <w:color w:val="000000" w:themeColor="text1"/>
        </w:rPr>
        <w:t>Fares rose modestly faster than inflation-neutral, in a quarter where GTV (20.91%) grew much faster than price alone — pointing to volume as the larger driver of revenue growth.</w:t>
      </w:r>
    </w:p>
    <w:p w14:paraId="0FCC5944"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2D894F6F"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10. Market Size and Supply</w:t>
      </w:r>
    </w:p>
    <w:p w14:paraId="07B924FA" w14:textId="720CDD7F"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The FY2025 Bus</w:t>
      </w:r>
      <w:r w:rsidR="00945728">
        <w:rPr>
          <w:rFonts w:ascii="Arial" w:hAnsi="Arial" w:cs="Arial"/>
          <w:color w:val="000000" w:themeColor="text1"/>
          <w:sz w:val="22"/>
          <w:szCs w:val="22"/>
        </w:rPr>
        <w:t xml:space="preserve"> </w:t>
      </w:r>
      <w:r w:rsidRPr="00945728">
        <w:rPr>
          <w:rFonts w:ascii="Arial" w:hAnsi="Arial" w:cs="Arial"/>
          <w:color w:val="000000" w:themeColor="text1"/>
          <w:sz w:val="22"/>
          <w:szCs w:val="22"/>
        </w:rPr>
        <w:t>Track report describes a large intercity bus market: around 40,000 buses running daily, more than 6,500 private operators, about 6,400 new buses added, 265,000 new daily seats created, 760 electric bus schedules, and 72,000 new intercity routes launched during the year.</w:t>
      </w:r>
    </w:p>
    <w:p w14:paraId="64CC4184" w14:textId="77777777" w:rsidR="00B667A8" w:rsidRPr="00945728" w:rsidRDefault="00421C5F" w:rsidP="00945728">
      <w:pPr>
        <w:spacing w:after="150" w:line="360" w:lineRule="auto"/>
        <w:jc w:val="center"/>
        <w:rPr>
          <w:rFonts w:ascii="Arial" w:hAnsi="Arial" w:cs="Arial"/>
          <w:color w:val="000000" w:themeColor="text1"/>
        </w:rPr>
      </w:pPr>
      <w:r w:rsidRPr="00945728">
        <w:rPr>
          <w:rFonts w:ascii="Arial" w:hAnsi="Arial" w:cs="Arial"/>
          <w:noProof/>
          <w:color w:val="000000" w:themeColor="text1"/>
        </w:rPr>
        <w:drawing>
          <wp:inline distT="0" distB="0" distL="0" distR="0" wp14:anchorId="3FC614A3" wp14:editId="266C0F28">
            <wp:extent cx="6429375" cy="5057775"/>
            <wp:effectExtent l="0" t="0" r="9525" b="9525"/>
            <wp:docPr id="410033199" name="Picture 41003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52287" cy="5075799"/>
                    </a:xfrm>
                    <a:prstGeom prst="rect">
                      <a:avLst/>
                    </a:prstGeom>
                  </pic:spPr>
                </pic:pic>
              </a:graphicData>
            </a:graphic>
          </wp:inline>
        </w:drawing>
      </w:r>
    </w:p>
    <w:p w14:paraId="0AFA55B9"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b/>
          <w:bCs/>
          <w:color w:val="000000" w:themeColor="text1"/>
          <w:sz w:val="22"/>
          <w:szCs w:val="22"/>
        </w:rPr>
        <w:t>INSIGHTS:</w:t>
      </w:r>
    </w:p>
    <w:p w14:paraId="40B75BD8"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The bus market had a large and growing number of buses, operators and routes.</w:t>
      </w:r>
    </w:p>
    <w:p w14:paraId="554B4BCD"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New buses and new daily seats expanded available capacity for passengers.</w:t>
      </w:r>
    </w:p>
    <w:p w14:paraId="44A7EB9D"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Electric bus schedules, while still a small share of the total, were part of the reported FY2025 supply.</w:t>
      </w:r>
    </w:p>
    <w:p w14:paraId="7906AE56"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A larger, more connected bus market gives online booking platforms more services to list.</w:t>
      </w:r>
    </w:p>
    <w:p w14:paraId="105B2450"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138CC956"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11. Journey Timing</w:t>
      </w:r>
    </w:p>
    <w:p w14:paraId="1B14AB88" w14:textId="3AC9FD72"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Bus</w:t>
      </w:r>
      <w:r w:rsidR="00945728">
        <w:rPr>
          <w:rFonts w:ascii="Arial" w:hAnsi="Arial" w:cs="Arial"/>
          <w:color w:val="000000" w:themeColor="text1"/>
          <w:sz w:val="22"/>
          <w:szCs w:val="22"/>
        </w:rPr>
        <w:t xml:space="preserve"> </w:t>
      </w:r>
      <w:r w:rsidRPr="00945728">
        <w:rPr>
          <w:rFonts w:ascii="Arial" w:hAnsi="Arial" w:cs="Arial"/>
          <w:color w:val="000000" w:themeColor="text1"/>
          <w:sz w:val="22"/>
          <w:szCs w:val="22"/>
        </w:rPr>
        <w:t>Track reports the share of FY2025 journeys by time of departure. Evening and night departures (6 PM–12 AM) dominated, accounting for 77% of journeys.</w:t>
      </w:r>
    </w:p>
    <w:p w14:paraId="0305383B" w14:textId="77777777" w:rsidR="00B667A8" w:rsidRPr="00945728" w:rsidRDefault="00421C5F" w:rsidP="00945728">
      <w:pPr>
        <w:spacing w:after="150" w:line="360" w:lineRule="auto"/>
        <w:jc w:val="center"/>
        <w:rPr>
          <w:rFonts w:ascii="Arial" w:hAnsi="Arial" w:cs="Arial"/>
          <w:color w:val="000000" w:themeColor="text1"/>
        </w:rPr>
      </w:pPr>
      <w:r w:rsidRPr="00945728">
        <w:rPr>
          <w:rFonts w:ascii="Arial" w:hAnsi="Arial" w:cs="Arial"/>
          <w:noProof/>
          <w:color w:val="000000" w:themeColor="text1"/>
        </w:rPr>
        <w:drawing>
          <wp:inline distT="0" distB="0" distL="0" distR="0" wp14:anchorId="3BCC457E" wp14:editId="3F70EF25">
            <wp:extent cx="6265545" cy="4086225"/>
            <wp:effectExtent l="0" t="0" r="1905" b="9525"/>
            <wp:docPr id="697382843" name="Picture 69738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65545" cy="4086225"/>
                    </a:xfrm>
                    <a:prstGeom prst="rect">
                      <a:avLst/>
                    </a:prstGeom>
                  </pic:spPr>
                </pic:pic>
              </a:graphicData>
            </a:graphic>
          </wp:inline>
        </w:drawing>
      </w:r>
    </w:p>
    <w:p w14:paraId="7A4AEF45"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b/>
          <w:bCs/>
          <w:color w:val="000000" w:themeColor="text1"/>
          <w:sz w:val="22"/>
          <w:szCs w:val="22"/>
        </w:rPr>
        <w:t>INSIGHTS:</w:t>
      </w:r>
    </w:p>
    <w:p w14:paraId="27CA20FB"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Evening/night departures (6 PM–12 AM) made up more than three-quarters of FY2025 journeys.</w:t>
      </w:r>
    </w:p>
    <w:p w14:paraId="106011C8"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Afternoon departures were a distant second, at 14%.</w:t>
      </w:r>
    </w:p>
    <w:p w14:paraId="5096DBE7"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Early-morning departures (12 AM–6 AM) were the least common, at 2%.</w:t>
      </w:r>
    </w:p>
    <w:p w14:paraId="467F1A3D"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This pattern is consistent with the high sleeper-seat share reported in Section 7, since overnight travel favours sleeper berths.</w:t>
      </w:r>
    </w:p>
    <w:p w14:paraId="151E7087"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4BCFA0C4"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12. Major Routes and Regional Demand</w:t>
      </w:r>
    </w:p>
    <w:p w14:paraId="7757621B"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The Q4 FY25 snapshot reports each region's share of seat bookings. Maharashtra &amp; Goa led with 17%, followed by Tamil Nadu (13%) and Karnataka (12%).</w:t>
      </w:r>
    </w:p>
    <w:p w14:paraId="6E5B9D04" w14:textId="77777777" w:rsidR="00B667A8" w:rsidRPr="00945728" w:rsidRDefault="00421C5F" w:rsidP="00945728">
      <w:pPr>
        <w:spacing w:after="150" w:line="360" w:lineRule="auto"/>
        <w:jc w:val="center"/>
        <w:rPr>
          <w:rFonts w:ascii="Arial" w:hAnsi="Arial" w:cs="Arial"/>
          <w:color w:val="000000" w:themeColor="text1"/>
        </w:rPr>
      </w:pPr>
      <w:r w:rsidRPr="00945728">
        <w:rPr>
          <w:rFonts w:ascii="Arial" w:hAnsi="Arial" w:cs="Arial"/>
          <w:noProof/>
          <w:color w:val="000000" w:themeColor="text1"/>
        </w:rPr>
        <w:drawing>
          <wp:inline distT="0" distB="0" distL="0" distR="0" wp14:anchorId="658D3990" wp14:editId="3E59CFE6">
            <wp:extent cx="6134100" cy="4856163"/>
            <wp:effectExtent l="0" t="0" r="0" b="1905"/>
            <wp:docPr id="62481579" name="Picture 6248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47954" cy="4867131"/>
                    </a:xfrm>
                    <a:prstGeom prst="rect">
                      <a:avLst/>
                    </a:prstGeom>
                  </pic:spPr>
                </pic:pic>
              </a:graphicData>
            </a:graphic>
          </wp:inline>
        </w:drawing>
      </w:r>
    </w:p>
    <w:p w14:paraId="4BA3A25B"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b/>
          <w:bCs/>
          <w:color w:val="000000" w:themeColor="text1"/>
          <w:sz w:val="22"/>
          <w:szCs w:val="22"/>
        </w:rPr>
        <w:t>INSIGHTS:</w:t>
      </w:r>
    </w:p>
    <w:p w14:paraId="5F98594B"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Maharashtra &amp; Goa accounted for the largest regional seat share (17%) in Q4 FY25.</w:t>
      </w:r>
    </w:p>
    <w:p w14:paraId="72A68316"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Southern states (Tamil Nadu, Karnataka, Andhra Pradesh &amp; Telangana) together accounted for a large combined share.</w:t>
      </w:r>
    </w:p>
    <w:p w14:paraId="78FFD1F5"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Kerala and Delhi had the smallest reported regional shares, at 2% and 4%.</w:t>
      </w:r>
    </w:p>
    <w:p w14:paraId="0926A4A9"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Long routes (over 250 km) made up 66% of Q4 FY25 journeys, against 34% for short routes (under 250 km).</w:t>
      </w:r>
    </w:p>
    <w:p w14:paraId="2A87963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2E9AF6B4"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13. Festivals and Pilgrimage Surge</w:t>
      </w:r>
    </w:p>
    <w:p w14:paraId="09F723BF" w14:textId="6065C3FD"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Bus</w:t>
      </w:r>
      <w:r w:rsidR="00945728">
        <w:rPr>
          <w:rFonts w:ascii="Arial" w:hAnsi="Arial" w:cs="Arial"/>
          <w:color w:val="000000" w:themeColor="text1"/>
          <w:sz w:val="22"/>
          <w:szCs w:val="22"/>
        </w:rPr>
        <w:t xml:space="preserve"> </w:t>
      </w:r>
      <w:r w:rsidRPr="00945728">
        <w:rPr>
          <w:rFonts w:ascii="Arial" w:hAnsi="Arial" w:cs="Arial"/>
          <w:color w:val="000000" w:themeColor="text1"/>
          <w:sz w:val="22"/>
          <w:szCs w:val="22"/>
        </w:rPr>
        <w:t>Track highlights one pilgrimage route as an especially large FY2025 surge: bookings on the Tiruchendur–Thanjavur route grew 860% year-on-year.</w:t>
      </w:r>
    </w:p>
    <w:p w14:paraId="69230D62" w14:textId="77777777" w:rsidR="00B667A8" w:rsidRPr="00945728" w:rsidRDefault="00421C5F" w:rsidP="00945728">
      <w:pPr>
        <w:spacing w:after="150" w:line="360" w:lineRule="auto"/>
        <w:jc w:val="center"/>
        <w:rPr>
          <w:rFonts w:ascii="Arial" w:hAnsi="Arial" w:cs="Arial"/>
          <w:color w:val="000000" w:themeColor="text1"/>
        </w:rPr>
      </w:pPr>
      <w:r w:rsidRPr="00945728">
        <w:rPr>
          <w:rFonts w:ascii="Arial" w:hAnsi="Arial" w:cs="Arial"/>
          <w:noProof/>
          <w:color w:val="000000" w:themeColor="text1"/>
        </w:rPr>
        <w:drawing>
          <wp:inline distT="0" distB="0" distL="0" distR="0" wp14:anchorId="1C5798E1" wp14:editId="6790C1C8">
            <wp:extent cx="4381500" cy="2857500"/>
            <wp:effectExtent l="0" t="0" r="0" b="0"/>
            <wp:docPr id="621332137" name="Picture 62133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857500"/>
                    </a:xfrm>
                    <a:prstGeom prst="rect">
                      <a:avLst/>
                    </a:prstGeom>
                  </pic:spPr>
                </pic:pic>
              </a:graphicData>
            </a:graphic>
          </wp:inline>
        </w:drawing>
      </w:r>
    </w:p>
    <w:p w14:paraId="00C54EE2"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b/>
          <w:bCs/>
          <w:color w:val="000000" w:themeColor="text1"/>
          <w:sz w:val="22"/>
          <w:szCs w:val="22"/>
        </w:rPr>
        <w:t>INSIGHTS:</w:t>
      </w:r>
    </w:p>
    <w:p w14:paraId="2C6FE542"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The Tiruchendur–Thanjavur route saw a very large, event-driven booking increase (+860% YoY).</w:t>
      </w:r>
    </w:p>
    <w:p w14:paraId="5BBACE72"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Pilgrimage travel overall also showed the highest AC preference (78%) and highest same-day booking share (46%) among the segments in Section 5, apart from Student.</w:t>
      </w:r>
    </w:p>
    <w:p w14:paraId="288EDCF8"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Extreme, route-specific surges like this can create sudden local demand for extra buses and seats.</w:t>
      </w:r>
    </w:p>
    <w:tbl>
      <w:tblPr>
        <w:tblStyle w:val="TableGrid"/>
        <w:tblW w:w="5000" w:type="pct"/>
        <w:tblLook w:val="04A0" w:firstRow="1" w:lastRow="0" w:firstColumn="1" w:lastColumn="0" w:noHBand="0" w:noVBand="1"/>
      </w:tblPr>
      <w:tblGrid>
        <w:gridCol w:w="2650"/>
        <w:gridCol w:w="7420"/>
      </w:tblGrid>
      <w:tr w:rsidR="00B667A8" w:rsidRPr="00945728" w14:paraId="685AD119" w14:textId="77777777" w:rsidTr="00802D3B">
        <w:tc>
          <w:tcPr>
            <w:tcW w:w="2500" w:type="dxa"/>
          </w:tcPr>
          <w:p w14:paraId="0BBFE752"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KPI</w:t>
            </w:r>
          </w:p>
        </w:tc>
        <w:tc>
          <w:tcPr>
            <w:tcW w:w="7000" w:type="dxa"/>
          </w:tcPr>
          <w:p w14:paraId="5C19E45E"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Pilgrimage Route Booking Growth</w:t>
            </w:r>
          </w:p>
        </w:tc>
      </w:tr>
      <w:tr w:rsidR="00B667A8" w:rsidRPr="00945728" w14:paraId="6FC28B06" w14:textId="77777777" w:rsidTr="00802D3B">
        <w:tc>
          <w:tcPr>
            <w:tcW w:w="2500" w:type="dxa"/>
          </w:tcPr>
          <w:p w14:paraId="7F149BF2"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Formula</w:t>
            </w:r>
          </w:p>
        </w:tc>
        <w:tc>
          <w:tcPr>
            <w:tcW w:w="7000" w:type="dxa"/>
          </w:tcPr>
          <w:p w14:paraId="54AF9A62"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(Current year route bookings − Previous year route bookings) ÷ Previous year route bookings × 100</w:t>
            </w:r>
          </w:p>
        </w:tc>
      </w:tr>
      <w:tr w:rsidR="00B667A8" w:rsidRPr="00945728" w14:paraId="2D93D6BA" w14:textId="77777777" w:rsidTr="00802D3B">
        <w:tc>
          <w:tcPr>
            <w:tcW w:w="2500" w:type="dxa"/>
          </w:tcPr>
          <w:p w14:paraId="155C54D3"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FY2025 / Q4 result</w:t>
            </w:r>
          </w:p>
        </w:tc>
        <w:tc>
          <w:tcPr>
            <w:tcW w:w="7000" w:type="dxa"/>
          </w:tcPr>
          <w:p w14:paraId="122EEF02"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860% YoY (Tiruchendur–Thanjavur)</w:t>
            </w:r>
          </w:p>
        </w:tc>
      </w:tr>
    </w:tbl>
    <w:p w14:paraId="1BA15D7D" w14:textId="77777777" w:rsidR="00B667A8" w:rsidRPr="00945728" w:rsidRDefault="00421C5F" w:rsidP="00945728">
      <w:pPr>
        <w:shd w:val="clear" w:color="auto" w:fill="FFF2CC"/>
        <w:spacing w:before="80" w:after="200" w:line="360" w:lineRule="auto"/>
        <w:rPr>
          <w:rFonts w:ascii="Arial" w:hAnsi="Arial" w:cs="Arial"/>
          <w:color w:val="000000" w:themeColor="text1"/>
        </w:rPr>
      </w:pPr>
      <w:r w:rsidRPr="00945728">
        <w:rPr>
          <w:rFonts w:ascii="Arial" w:hAnsi="Arial" w:cs="Arial"/>
          <w:b/>
          <w:bCs/>
          <w:color w:val="000000" w:themeColor="text1"/>
        </w:rPr>
        <w:t xml:space="preserve">KPI Insight: </w:t>
      </w:r>
      <w:r w:rsidRPr="00945728">
        <w:rPr>
          <w:rFonts w:ascii="Arial" w:hAnsi="Arial" w:cs="Arial"/>
          <w:color w:val="000000" w:themeColor="text1"/>
        </w:rPr>
        <w:t>A single pilgrimage route recorded nearly a ten-fold jump in bookings, showing how concentrated event- or festival-driven demand can be.</w:t>
      </w:r>
    </w:p>
    <w:p w14:paraId="188C3591"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55EFB525" w14:textId="77777777" w:rsidR="00B667A8" w:rsidRPr="00945728" w:rsidRDefault="00421C5F" w:rsidP="00945728">
      <w:pPr>
        <w:pStyle w:val="Heading1"/>
        <w:pBdr>
          <w:bottom w:val="single" w:sz="8" w:space="4" w:color="1F3864"/>
        </w:pBdr>
        <w:spacing w:before="300" w:after="150" w:line="360" w:lineRule="auto"/>
        <w:rPr>
          <w:rFonts w:ascii="Arial" w:hAnsi="Arial" w:cs="Arial"/>
          <w:color w:val="000000" w:themeColor="text1"/>
        </w:rPr>
      </w:pPr>
      <w:r w:rsidRPr="00945728">
        <w:rPr>
          <w:rFonts w:ascii="Arial" w:hAnsi="Arial" w:cs="Arial"/>
          <w:b/>
          <w:bCs/>
          <w:color w:val="000000" w:themeColor="text1"/>
          <w:sz w:val="30"/>
          <w:szCs w:val="30"/>
        </w:rPr>
        <w:lastRenderedPageBreak/>
        <w:t>14. Occupancy Rate</w:t>
      </w:r>
    </w:p>
    <w:p w14:paraId="6805327E" w14:textId="77777777"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The Q4 FY25 snapshot reports average bus occupancy nationally and for two regional groupings. All-India occupancy was 78%, ranging from 83% in Andhra Pradesh &amp; Telangana to 65% in Madhya Pradesh &amp; Chhattisgarh.</w:t>
      </w:r>
    </w:p>
    <w:p w14:paraId="2A6EF4C0" w14:textId="77777777" w:rsidR="00B667A8" w:rsidRPr="00945728" w:rsidRDefault="00421C5F" w:rsidP="00945728">
      <w:pPr>
        <w:spacing w:after="150" w:line="360" w:lineRule="auto"/>
        <w:jc w:val="center"/>
        <w:rPr>
          <w:rFonts w:ascii="Arial" w:hAnsi="Arial" w:cs="Arial"/>
          <w:color w:val="000000" w:themeColor="text1"/>
        </w:rPr>
      </w:pPr>
      <w:r w:rsidRPr="00945728">
        <w:rPr>
          <w:rFonts w:ascii="Arial" w:hAnsi="Arial" w:cs="Arial"/>
          <w:noProof/>
          <w:color w:val="000000" w:themeColor="text1"/>
        </w:rPr>
        <w:drawing>
          <wp:inline distT="0" distB="0" distL="0" distR="0" wp14:anchorId="376711E3" wp14:editId="08261174">
            <wp:extent cx="4381500" cy="2857500"/>
            <wp:effectExtent l="0" t="0" r="0" b="0"/>
            <wp:docPr id="297360539" name="Picture 297360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857500"/>
                    </a:xfrm>
                    <a:prstGeom prst="rect">
                      <a:avLst/>
                    </a:prstGeom>
                  </pic:spPr>
                </pic:pic>
              </a:graphicData>
            </a:graphic>
          </wp:inline>
        </w:drawing>
      </w:r>
    </w:p>
    <w:p w14:paraId="7DB02F94" w14:textId="77777777" w:rsidR="00B667A8" w:rsidRDefault="00421C5F" w:rsidP="00945728">
      <w:pPr>
        <w:spacing w:after="120" w:line="360" w:lineRule="auto"/>
        <w:rPr>
          <w:rFonts w:ascii="Arial" w:hAnsi="Arial" w:cs="Arial"/>
          <w:b/>
          <w:bCs/>
          <w:color w:val="000000" w:themeColor="text1"/>
          <w:sz w:val="22"/>
          <w:szCs w:val="22"/>
        </w:rPr>
      </w:pPr>
      <w:r w:rsidRPr="00945728">
        <w:rPr>
          <w:rFonts w:ascii="Arial" w:hAnsi="Arial" w:cs="Arial"/>
          <w:b/>
          <w:bCs/>
          <w:color w:val="000000" w:themeColor="text1"/>
          <w:sz w:val="22"/>
          <w:szCs w:val="22"/>
        </w:rPr>
        <w:t>INSIGHTS:</w:t>
      </w:r>
    </w:p>
    <w:p w14:paraId="4591CB7C" w14:textId="77777777" w:rsidR="00B919A6" w:rsidRPr="00945728" w:rsidRDefault="00B919A6" w:rsidP="00945728">
      <w:pPr>
        <w:spacing w:after="120" w:line="360" w:lineRule="auto"/>
        <w:rPr>
          <w:rFonts w:ascii="Arial" w:hAnsi="Arial" w:cs="Arial"/>
          <w:color w:val="000000" w:themeColor="text1"/>
        </w:rPr>
      </w:pPr>
    </w:p>
    <w:p w14:paraId="6B1E4C0E"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All-India occupancy stood at 78% in Q4 FY25.</w:t>
      </w:r>
    </w:p>
    <w:p w14:paraId="0458A8B4" w14:textId="77777777" w:rsidR="00B667A8" w:rsidRPr="00945728"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Andhra Pradesh &amp; Telangana had the highest reported occupancy (83%) among the groupings shown.</w:t>
      </w:r>
    </w:p>
    <w:p w14:paraId="584CBF5B" w14:textId="77777777" w:rsidR="00B667A8" w:rsidRPr="00B919A6" w:rsidRDefault="00421C5F" w:rsidP="00945728">
      <w:pPr>
        <w:pStyle w:val="ListParagraph"/>
        <w:numPr>
          <w:ilvl w:val="0"/>
          <w:numId w:val="1"/>
        </w:numPr>
        <w:spacing w:after="60" w:line="360" w:lineRule="auto"/>
        <w:rPr>
          <w:rFonts w:ascii="Arial" w:hAnsi="Arial" w:cs="Arial"/>
          <w:color w:val="000000" w:themeColor="text1"/>
        </w:rPr>
      </w:pPr>
      <w:r w:rsidRPr="00945728">
        <w:rPr>
          <w:rFonts w:ascii="Arial" w:hAnsi="Arial" w:cs="Arial"/>
          <w:color w:val="000000" w:themeColor="text1"/>
          <w:sz w:val="22"/>
          <w:szCs w:val="22"/>
        </w:rPr>
        <w:t>Madhya Pradesh &amp; Chhattisgarh had the lowest reported occupancy (65%), a gap of 18 percentage points versus the highest region.</w:t>
      </w:r>
    </w:p>
    <w:p w14:paraId="3FCEE7FC" w14:textId="77777777" w:rsidR="00B919A6" w:rsidRDefault="00B919A6" w:rsidP="00B919A6">
      <w:pPr>
        <w:pStyle w:val="ListParagraph"/>
        <w:spacing w:after="60" w:line="360" w:lineRule="auto"/>
        <w:ind w:left="720"/>
        <w:rPr>
          <w:rFonts w:ascii="Arial" w:hAnsi="Arial" w:cs="Arial"/>
          <w:color w:val="000000" w:themeColor="text1"/>
          <w:sz w:val="22"/>
          <w:szCs w:val="22"/>
        </w:rPr>
      </w:pPr>
    </w:p>
    <w:p w14:paraId="315E0010" w14:textId="77777777" w:rsidR="00B919A6" w:rsidRDefault="00B919A6" w:rsidP="00B919A6">
      <w:pPr>
        <w:pStyle w:val="ListParagraph"/>
        <w:spacing w:after="60" w:line="360" w:lineRule="auto"/>
        <w:ind w:left="720"/>
        <w:rPr>
          <w:rFonts w:ascii="Arial" w:hAnsi="Arial" w:cs="Arial"/>
          <w:color w:val="000000" w:themeColor="text1"/>
          <w:sz w:val="22"/>
          <w:szCs w:val="22"/>
        </w:rPr>
      </w:pPr>
    </w:p>
    <w:p w14:paraId="59BB53A7" w14:textId="77777777" w:rsidR="00B919A6" w:rsidRPr="00945728" w:rsidRDefault="00B919A6" w:rsidP="00B919A6">
      <w:pPr>
        <w:pStyle w:val="ListParagraph"/>
        <w:spacing w:after="60" w:line="360" w:lineRule="auto"/>
        <w:ind w:left="720"/>
        <w:rPr>
          <w:rFonts w:ascii="Arial" w:hAnsi="Arial" w:cs="Arial"/>
          <w:color w:val="000000" w:themeColor="text1"/>
        </w:rPr>
      </w:pPr>
    </w:p>
    <w:tbl>
      <w:tblPr>
        <w:tblStyle w:val="TableGrid"/>
        <w:tblW w:w="5000" w:type="pct"/>
        <w:tblLook w:val="04A0" w:firstRow="1" w:lastRow="0" w:firstColumn="1" w:lastColumn="0" w:noHBand="0" w:noVBand="1"/>
      </w:tblPr>
      <w:tblGrid>
        <w:gridCol w:w="2650"/>
        <w:gridCol w:w="7420"/>
      </w:tblGrid>
      <w:tr w:rsidR="00B667A8" w:rsidRPr="00945728" w14:paraId="45B01053" w14:textId="77777777" w:rsidTr="00802D3B">
        <w:tc>
          <w:tcPr>
            <w:tcW w:w="2500" w:type="dxa"/>
          </w:tcPr>
          <w:p w14:paraId="1355E838"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KPI</w:t>
            </w:r>
          </w:p>
        </w:tc>
        <w:tc>
          <w:tcPr>
            <w:tcW w:w="7000" w:type="dxa"/>
          </w:tcPr>
          <w:p w14:paraId="61BA5DDF"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Bus Occupancy Rate</w:t>
            </w:r>
          </w:p>
        </w:tc>
      </w:tr>
      <w:tr w:rsidR="00B667A8" w:rsidRPr="00945728" w14:paraId="4CF4278C" w14:textId="77777777" w:rsidTr="00802D3B">
        <w:tc>
          <w:tcPr>
            <w:tcW w:w="2500" w:type="dxa"/>
          </w:tcPr>
          <w:p w14:paraId="0E6F119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Formula</w:t>
            </w:r>
          </w:p>
        </w:tc>
        <w:tc>
          <w:tcPr>
            <w:tcW w:w="7000" w:type="dxa"/>
          </w:tcPr>
          <w:p w14:paraId="5603056E"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Seats sold ÷ Total seats available × 100</w:t>
            </w:r>
          </w:p>
        </w:tc>
      </w:tr>
      <w:tr w:rsidR="00B667A8" w:rsidRPr="00945728" w14:paraId="4D3447A2" w14:textId="77777777" w:rsidTr="00802D3B">
        <w:tc>
          <w:tcPr>
            <w:tcW w:w="2500" w:type="dxa"/>
          </w:tcPr>
          <w:p w14:paraId="4D9E16D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FY2025 / Q4 result</w:t>
            </w:r>
          </w:p>
        </w:tc>
        <w:tc>
          <w:tcPr>
            <w:tcW w:w="7000" w:type="dxa"/>
          </w:tcPr>
          <w:p w14:paraId="44DF7FBD"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78% (All India, Q4 FY25)</w:t>
            </w:r>
          </w:p>
        </w:tc>
      </w:tr>
    </w:tbl>
    <w:p w14:paraId="69ACE0C0" w14:textId="77777777" w:rsidR="00B667A8" w:rsidRPr="00945728" w:rsidRDefault="00421C5F" w:rsidP="00945728">
      <w:pPr>
        <w:shd w:val="clear" w:color="auto" w:fill="FFF2CC"/>
        <w:spacing w:before="80" w:after="200" w:line="360" w:lineRule="auto"/>
        <w:rPr>
          <w:rFonts w:ascii="Arial" w:hAnsi="Arial" w:cs="Arial"/>
          <w:color w:val="000000" w:themeColor="text1"/>
        </w:rPr>
      </w:pPr>
      <w:r w:rsidRPr="008E5FD0">
        <w:rPr>
          <w:rFonts w:ascii="Arial" w:hAnsi="Arial" w:cs="Arial"/>
          <w:b/>
          <w:bCs/>
          <w:color w:val="000000" w:themeColor="text1"/>
        </w:rPr>
        <w:t xml:space="preserve">KPI Insight: </w:t>
      </w:r>
      <w:r w:rsidRPr="008E5FD0">
        <w:rPr>
          <w:rFonts w:ascii="Arial" w:hAnsi="Arial" w:cs="Arial"/>
          <w:color w:val="000000" w:themeColor="text1"/>
        </w:rPr>
        <w:t>Roughly one in five available seats went unsold nationally in Q4 FY25, with regional occupancy varying by up to 18 percentage points.</w:t>
      </w:r>
    </w:p>
    <w:p w14:paraId="283709DB"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3F38CDC6" w14:textId="77777777" w:rsidR="00B667A8" w:rsidRDefault="00421C5F" w:rsidP="008E5FD0">
      <w:pPr>
        <w:pStyle w:val="Heading1"/>
        <w:pBdr>
          <w:bottom w:val="single" w:sz="8" w:space="0" w:color="1F3864"/>
        </w:pBdr>
        <w:spacing w:before="300" w:after="150" w:line="360" w:lineRule="auto"/>
        <w:rPr>
          <w:rFonts w:ascii="Arial" w:hAnsi="Arial" w:cs="Arial"/>
          <w:b/>
          <w:bCs/>
          <w:color w:val="000000" w:themeColor="text1"/>
          <w:sz w:val="30"/>
          <w:szCs w:val="30"/>
        </w:rPr>
      </w:pPr>
      <w:r w:rsidRPr="00945728">
        <w:rPr>
          <w:rFonts w:ascii="Arial" w:hAnsi="Arial" w:cs="Arial"/>
          <w:b/>
          <w:bCs/>
          <w:color w:val="000000" w:themeColor="text1"/>
          <w:sz w:val="30"/>
          <w:szCs w:val="30"/>
        </w:rPr>
        <w:lastRenderedPageBreak/>
        <w:t>16. Summary of Key Metrics</w:t>
      </w:r>
    </w:p>
    <w:p w14:paraId="7EBF879D" w14:textId="77777777" w:rsidR="00802D3B" w:rsidRPr="00945728" w:rsidRDefault="00802D3B" w:rsidP="008E5FD0">
      <w:pPr>
        <w:pStyle w:val="Heading1"/>
        <w:pBdr>
          <w:bottom w:val="single" w:sz="8" w:space="0" w:color="1F3864"/>
        </w:pBdr>
        <w:spacing w:before="300" w:after="150" w:line="360" w:lineRule="auto"/>
        <w:rPr>
          <w:rFonts w:ascii="Arial" w:hAnsi="Arial" w:cs="Arial"/>
          <w:color w:val="000000" w:themeColor="text1"/>
        </w:rPr>
      </w:pPr>
    </w:p>
    <w:tbl>
      <w:tblPr>
        <w:tblStyle w:val="TableGrid"/>
        <w:tblW w:w="10686" w:type="dxa"/>
        <w:tblLook w:val="04A0" w:firstRow="1" w:lastRow="0" w:firstColumn="1" w:lastColumn="0" w:noHBand="0" w:noVBand="1"/>
      </w:tblPr>
      <w:tblGrid>
        <w:gridCol w:w="5345"/>
        <w:gridCol w:w="2968"/>
        <w:gridCol w:w="2373"/>
      </w:tblGrid>
      <w:tr w:rsidR="00B667A8" w:rsidRPr="00945728" w14:paraId="09F69651" w14:textId="77777777" w:rsidTr="00802D3B">
        <w:trPr>
          <w:trHeight w:val="545"/>
        </w:trPr>
        <w:tc>
          <w:tcPr>
            <w:tcW w:w="5345" w:type="dxa"/>
          </w:tcPr>
          <w:p w14:paraId="013B09A3" w14:textId="77777777" w:rsidR="00B667A8" w:rsidRPr="00802D3B" w:rsidRDefault="00421C5F" w:rsidP="00945728">
            <w:pPr>
              <w:spacing w:line="360" w:lineRule="auto"/>
              <w:rPr>
                <w:rFonts w:ascii="Arial" w:hAnsi="Arial" w:cs="Arial"/>
                <w:color w:val="000000" w:themeColor="text1"/>
                <w:sz w:val="28"/>
                <w:szCs w:val="28"/>
              </w:rPr>
            </w:pPr>
            <w:r w:rsidRPr="00802D3B">
              <w:rPr>
                <w:rFonts w:ascii="Arial" w:hAnsi="Arial" w:cs="Arial"/>
                <w:b/>
                <w:bCs/>
                <w:color w:val="000000" w:themeColor="text1"/>
                <w:sz w:val="28"/>
                <w:szCs w:val="28"/>
              </w:rPr>
              <w:t>Metric</w:t>
            </w:r>
          </w:p>
        </w:tc>
        <w:tc>
          <w:tcPr>
            <w:tcW w:w="2968" w:type="dxa"/>
          </w:tcPr>
          <w:p w14:paraId="50ED6A7C" w14:textId="77777777" w:rsidR="00B667A8" w:rsidRPr="00802D3B" w:rsidRDefault="00421C5F" w:rsidP="00945728">
            <w:pPr>
              <w:spacing w:line="360" w:lineRule="auto"/>
              <w:rPr>
                <w:rFonts w:ascii="Arial" w:hAnsi="Arial" w:cs="Arial"/>
                <w:color w:val="000000" w:themeColor="text1"/>
                <w:sz w:val="28"/>
                <w:szCs w:val="28"/>
              </w:rPr>
            </w:pPr>
            <w:r w:rsidRPr="00802D3B">
              <w:rPr>
                <w:rFonts w:ascii="Arial" w:hAnsi="Arial" w:cs="Arial"/>
                <w:b/>
                <w:bCs/>
                <w:color w:val="000000" w:themeColor="text1"/>
                <w:sz w:val="28"/>
                <w:szCs w:val="28"/>
              </w:rPr>
              <w:t>Value</w:t>
            </w:r>
          </w:p>
        </w:tc>
        <w:tc>
          <w:tcPr>
            <w:tcW w:w="2373" w:type="dxa"/>
          </w:tcPr>
          <w:p w14:paraId="3F1B00B3" w14:textId="77777777" w:rsidR="00B667A8" w:rsidRPr="00802D3B" w:rsidRDefault="00421C5F" w:rsidP="00945728">
            <w:pPr>
              <w:spacing w:line="360" w:lineRule="auto"/>
              <w:rPr>
                <w:rFonts w:ascii="Arial" w:hAnsi="Arial" w:cs="Arial"/>
                <w:color w:val="000000" w:themeColor="text1"/>
                <w:sz w:val="28"/>
                <w:szCs w:val="28"/>
              </w:rPr>
            </w:pPr>
            <w:r w:rsidRPr="00802D3B">
              <w:rPr>
                <w:rFonts w:ascii="Arial" w:hAnsi="Arial" w:cs="Arial"/>
                <w:b/>
                <w:bCs/>
                <w:color w:val="000000" w:themeColor="text1"/>
                <w:sz w:val="28"/>
                <w:szCs w:val="28"/>
              </w:rPr>
              <w:t>Period</w:t>
            </w:r>
          </w:p>
        </w:tc>
      </w:tr>
      <w:tr w:rsidR="00B667A8" w:rsidRPr="00945728" w14:paraId="11E787F3" w14:textId="77777777" w:rsidTr="00802D3B">
        <w:trPr>
          <w:trHeight w:val="1094"/>
        </w:trPr>
        <w:tc>
          <w:tcPr>
            <w:tcW w:w="5345" w:type="dxa"/>
          </w:tcPr>
          <w:p w14:paraId="53F1593F"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Passenger growth</w:t>
            </w:r>
          </w:p>
        </w:tc>
        <w:tc>
          <w:tcPr>
            <w:tcW w:w="2968" w:type="dxa"/>
          </w:tcPr>
          <w:p w14:paraId="6CF9AC16"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17.07% YoY</w:t>
            </w:r>
          </w:p>
        </w:tc>
        <w:tc>
          <w:tcPr>
            <w:tcW w:w="2373" w:type="dxa"/>
          </w:tcPr>
          <w:p w14:paraId="414BBEE7"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 FY25 vs Q4 FY24</w:t>
            </w:r>
          </w:p>
        </w:tc>
      </w:tr>
      <w:tr w:rsidR="00B667A8" w:rsidRPr="00945728" w14:paraId="30A05236" w14:textId="77777777" w:rsidTr="00802D3B">
        <w:trPr>
          <w:trHeight w:val="1094"/>
        </w:trPr>
        <w:tc>
          <w:tcPr>
            <w:tcW w:w="5345" w:type="dxa"/>
          </w:tcPr>
          <w:p w14:paraId="7A573B8F"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GTV growth</w:t>
            </w:r>
          </w:p>
        </w:tc>
        <w:tc>
          <w:tcPr>
            <w:tcW w:w="2968" w:type="dxa"/>
          </w:tcPr>
          <w:p w14:paraId="7F94C552"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20.91% YoY</w:t>
            </w:r>
          </w:p>
        </w:tc>
        <w:tc>
          <w:tcPr>
            <w:tcW w:w="2373" w:type="dxa"/>
          </w:tcPr>
          <w:p w14:paraId="0962DC0B"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 FY25 vs Q4 FY24</w:t>
            </w:r>
          </w:p>
        </w:tc>
      </w:tr>
      <w:tr w:rsidR="00B667A8" w:rsidRPr="00945728" w14:paraId="798FBA36" w14:textId="77777777" w:rsidTr="00802D3B">
        <w:trPr>
          <w:trHeight w:val="1094"/>
        </w:trPr>
        <w:tc>
          <w:tcPr>
            <w:tcW w:w="5345" w:type="dxa"/>
          </w:tcPr>
          <w:p w14:paraId="117EAEA6"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Average seat price growth</w:t>
            </w:r>
          </w:p>
        </w:tc>
        <w:tc>
          <w:tcPr>
            <w:tcW w:w="2968" w:type="dxa"/>
          </w:tcPr>
          <w:p w14:paraId="43FEBF4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3.41% YoY</w:t>
            </w:r>
          </w:p>
        </w:tc>
        <w:tc>
          <w:tcPr>
            <w:tcW w:w="2373" w:type="dxa"/>
          </w:tcPr>
          <w:p w14:paraId="1EFD6170"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 FY25 vs Q4 FY24</w:t>
            </w:r>
          </w:p>
        </w:tc>
      </w:tr>
      <w:tr w:rsidR="00B667A8" w:rsidRPr="00945728" w14:paraId="39362727" w14:textId="77777777" w:rsidTr="00802D3B">
        <w:trPr>
          <w:trHeight w:val="1094"/>
        </w:trPr>
        <w:tc>
          <w:tcPr>
            <w:tcW w:w="5345" w:type="dxa"/>
          </w:tcPr>
          <w:p w14:paraId="19E7901F"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Active private-operator growth</w:t>
            </w:r>
          </w:p>
        </w:tc>
        <w:tc>
          <w:tcPr>
            <w:tcW w:w="2968" w:type="dxa"/>
          </w:tcPr>
          <w:p w14:paraId="6390BB51"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14.54% YoY</w:t>
            </w:r>
          </w:p>
        </w:tc>
        <w:tc>
          <w:tcPr>
            <w:tcW w:w="2373" w:type="dxa"/>
          </w:tcPr>
          <w:p w14:paraId="426F0C42"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 FY25 vs Q4 FY24</w:t>
            </w:r>
          </w:p>
        </w:tc>
      </w:tr>
      <w:tr w:rsidR="00B667A8" w:rsidRPr="00945728" w14:paraId="705B18E0" w14:textId="77777777" w:rsidTr="00802D3B">
        <w:trPr>
          <w:trHeight w:val="562"/>
        </w:trPr>
        <w:tc>
          <w:tcPr>
            <w:tcW w:w="5345" w:type="dxa"/>
          </w:tcPr>
          <w:p w14:paraId="6D88E193"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Student ride growth</w:t>
            </w:r>
          </w:p>
        </w:tc>
        <w:tc>
          <w:tcPr>
            <w:tcW w:w="2968" w:type="dxa"/>
          </w:tcPr>
          <w:p w14:paraId="3742BF83"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26% YoY</w:t>
            </w:r>
          </w:p>
        </w:tc>
        <w:tc>
          <w:tcPr>
            <w:tcW w:w="2373" w:type="dxa"/>
          </w:tcPr>
          <w:p w14:paraId="16B9C8D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FY2025</w:t>
            </w:r>
          </w:p>
        </w:tc>
      </w:tr>
      <w:tr w:rsidR="00B667A8" w:rsidRPr="00945728" w14:paraId="7EC9AD8B" w14:textId="77777777" w:rsidTr="00802D3B">
        <w:trPr>
          <w:trHeight w:val="1094"/>
        </w:trPr>
        <w:tc>
          <w:tcPr>
            <w:tcW w:w="5345" w:type="dxa"/>
          </w:tcPr>
          <w:p w14:paraId="71D646B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Pilgrimage route (Tiruchendur–Thanjavur) growth</w:t>
            </w:r>
          </w:p>
        </w:tc>
        <w:tc>
          <w:tcPr>
            <w:tcW w:w="2968" w:type="dxa"/>
          </w:tcPr>
          <w:p w14:paraId="4464496D"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860% YoY</w:t>
            </w:r>
          </w:p>
        </w:tc>
        <w:tc>
          <w:tcPr>
            <w:tcW w:w="2373" w:type="dxa"/>
          </w:tcPr>
          <w:p w14:paraId="5661BE2D"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FY2025</w:t>
            </w:r>
          </w:p>
        </w:tc>
      </w:tr>
      <w:tr w:rsidR="00B667A8" w:rsidRPr="00945728" w14:paraId="5CA6A46C" w14:textId="77777777" w:rsidTr="00802D3B">
        <w:trPr>
          <w:trHeight w:val="545"/>
        </w:trPr>
        <w:tc>
          <w:tcPr>
            <w:tcW w:w="5345" w:type="dxa"/>
          </w:tcPr>
          <w:p w14:paraId="1A13AE9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AC booking share</w:t>
            </w:r>
          </w:p>
        </w:tc>
        <w:tc>
          <w:tcPr>
            <w:tcW w:w="2968" w:type="dxa"/>
          </w:tcPr>
          <w:p w14:paraId="001DFC3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67%</w:t>
            </w:r>
          </w:p>
        </w:tc>
        <w:tc>
          <w:tcPr>
            <w:tcW w:w="2373" w:type="dxa"/>
          </w:tcPr>
          <w:p w14:paraId="1961EBF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FY2025 annual</w:t>
            </w:r>
          </w:p>
        </w:tc>
      </w:tr>
    </w:tbl>
    <w:p w14:paraId="338F7CEB" w14:textId="77777777" w:rsidR="00B667A8" w:rsidRPr="00945728" w:rsidRDefault="00B667A8" w:rsidP="00945728">
      <w:pPr>
        <w:spacing w:after="80" w:line="360" w:lineRule="auto"/>
        <w:rPr>
          <w:rFonts w:ascii="Arial" w:hAnsi="Arial" w:cs="Arial"/>
          <w:color w:val="000000" w:themeColor="text1"/>
        </w:rPr>
      </w:pPr>
    </w:p>
    <w:p w14:paraId="22B800F7" w14:textId="31A16DDD" w:rsidR="00B667A8" w:rsidRPr="00945728" w:rsidRDefault="00421C5F" w:rsidP="00945728">
      <w:pPr>
        <w:spacing w:after="120" w:line="360" w:lineRule="auto"/>
        <w:rPr>
          <w:rFonts w:ascii="Arial" w:hAnsi="Arial" w:cs="Arial"/>
          <w:color w:val="000000" w:themeColor="text1"/>
        </w:rPr>
      </w:pPr>
      <w:r w:rsidRPr="00945728">
        <w:rPr>
          <w:rFonts w:ascii="Arial" w:hAnsi="Arial" w:cs="Arial"/>
          <w:color w:val="000000" w:themeColor="text1"/>
          <w:sz w:val="22"/>
          <w:szCs w:val="22"/>
        </w:rPr>
        <w:t>These figures are taken from the official redBus India Bus</w:t>
      </w:r>
      <w:r w:rsidR="00423D74">
        <w:rPr>
          <w:rFonts w:ascii="Arial" w:hAnsi="Arial" w:cs="Arial"/>
          <w:color w:val="000000" w:themeColor="text1"/>
          <w:sz w:val="22"/>
          <w:szCs w:val="22"/>
        </w:rPr>
        <w:t xml:space="preserve"> </w:t>
      </w:r>
      <w:r w:rsidRPr="00945728">
        <w:rPr>
          <w:rFonts w:ascii="Arial" w:hAnsi="Arial" w:cs="Arial"/>
          <w:color w:val="000000" w:themeColor="text1"/>
          <w:sz w:val="22"/>
          <w:szCs w:val="22"/>
        </w:rPr>
        <w:t>Track Report: FY 2025. They cover different periods (full-year FY2025 vs the Jan–Mar quarter) and should be read as separate indicators rather than a single combined figure.</w:t>
      </w:r>
    </w:p>
    <w:p w14:paraId="0809C30C"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br w:type="page"/>
      </w:r>
    </w:p>
    <w:p w14:paraId="6B114465" w14:textId="5C6BF4EA" w:rsidR="00423D74" w:rsidRDefault="00423D74" w:rsidP="00423D74">
      <w:pPr>
        <w:spacing w:line="360" w:lineRule="auto"/>
        <w:rPr>
          <w:rFonts w:ascii="Arial" w:hAnsi="Arial" w:cs="Arial"/>
          <w:b/>
          <w:bCs/>
          <w:color w:val="000000" w:themeColor="text1"/>
          <w:sz w:val="32"/>
          <w:szCs w:val="32"/>
        </w:rPr>
      </w:pPr>
      <w:r w:rsidRPr="00423D74">
        <w:rPr>
          <w:rFonts w:ascii="Arial" w:hAnsi="Arial" w:cs="Arial"/>
          <w:b/>
          <w:bCs/>
          <w:color w:val="000000" w:themeColor="text1"/>
          <w:sz w:val="32"/>
          <w:szCs w:val="32"/>
        </w:rPr>
        <w:lastRenderedPageBreak/>
        <w:t>DESCRIPTIVE TO PREDECTIVE</w:t>
      </w:r>
    </w:p>
    <w:p w14:paraId="71E73B66" w14:textId="77777777" w:rsidR="00802D3B" w:rsidRPr="00423D74" w:rsidRDefault="00802D3B" w:rsidP="00423D74">
      <w:pPr>
        <w:spacing w:line="360" w:lineRule="auto"/>
        <w:rPr>
          <w:rFonts w:ascii="Arial" w:hAnsi="Arial" w:cs="Arial"/>
          <w:b/>
          <w:bCs/>
          <w:color w:val="000000" w:themeColor="text1"/>
          <w:sz w:val="32"/>
          <w:szCs w:val="32"/>
        </w:rPr>
      </w:pPr>
    </w:p>
    <w:p w14:paraId="603403ED" w14:textId="368D7012"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b/>
          <w:bCs/>
          <w:color w:val="000000" w:themeColor="text1"/>
          <w:sz w:val="24"/>
          <w:szCs w:val="24"/>
        </w:rPr>
        <w:t>Step 1</w:t>
      </w:r>
      <w:r w:rsidRPr="00423D74">
        <w:rPr>
          <w:rFonts w:ascii="Arial" w:hAnsi="Arial" w:cs="Arial"/>
          <w:color w:val="000000" w:themeColor="text1"/>
          <w:sz w:val="24"/>
          <w:szCs w:val="24"/>
        </w:rPr>
        <w:t xml:space="preserve"> — Descriptive baseline (what happened)</w:t>
      </w:r>
    </w:p>
    <w:p w14:paraId="468777EF" w14:textId="08F92AFD" w:rsidR="00423D74" w:rsidRDefault="00423D74" w:rsidP="00423D74">
      <w:pPr>
        <w:spacing w:line="480" w:lineRule="auto"/>
        <w:rPr>
          <w:rFonts w:ascii="Arial" w:hAnsi="Arial" w:cs="Arial"/>
          <w:color w:val="000000" w:themeColor="text1"/>
          <w:sz w:val="24"/>
          <w:szCs w:val="24"/>
        </w:rPr>
      </w:pPr>
      <w:r w:rsidRPr="00423D74">
        <w:rPr>
          <w:rFonts w:ascii="Arial" w:hAnsi="Arial" w:cs="Arial"/>
          <w:color w:val="000000" w:themeColor="text1"/>
          <w:sz w:val="24"/>
          <w:szCs w:val="24"/>
        </w:rPr>
        <w:t>Pulled actual FY2025 figures from the Bus</w:t>
      </w:r>
      <w:r>
        <w:rPr>
          <w:rFonts w:ascii="Arial" w:hAnsi="Arial" w:cs="Arial"/>
          <w:color w:val="000000" w:themeColor="text1"/>
          <w:sz w:val="24"/>
          <w:szCs w:val="24"/>
        </w:rPr>
        <w:t xml:space="preserve"> </w:t>
      </w:r>
      <w:r w:rsidRPr="00423D74">
        <w:rPr>
          <w:rFonts w:ascii="Arial" w:hAnsi="Arial" w:cs="Arial"/>
          <w:color w:val="000000" w:themeColor="text1"/>
          <w:sz w:val="24"/>
          <w:szCs w:val="24"/>
        </w:rPr>
        <w:t>Track dataset: Q4 FY24 vs Q4 FY25 passengers (50.90M → 59.59M), GTV (₹49.31B → ₹59.62B), a</w:t>
      </w:r>
      <w:r>
        <w:rPr>
          <w:rFonts w:ascii="Arial" w:hAnsi="Arial" w:cs="Arial"/>
          <w:color w:val="000000" w:themeColor="text1"/>
          <w:sz w:val="24"/>
          <w:szCs w:val="24"/>
        </w:rPr>
        <w:t>verage</w:t>
      </w:r>
      <w:r w:rsidRPr="00423D74">
        <w:rPr>
          <w:rFonts w:ascii="Arial" w:hAnsi="Arial" w:cs="Arial"/>
          <w:color w:val="000000" w:themeColor="text1"/>
          <w:sz w:val="24"/>
          <w:szCs w:val="24"/>
        </w:rPr>
        <w:t xml:space="preserve"> seat price (₹968 → ₹1,001), operators (4,753 → 5,444) — plus static shares like AC 67%, Sleeper 51%, non-metro origin 68%.</w:t>
      </w:r>
    </w:p>
    <w:p w14:paraId="7D4A6675" w14:textId="77777777" w:rsidR="00B919A6" w:rsidRPr="00423D74" w:rsidRDefault="00B919A6" w:rsidP="00423D74">
      <w:pPr>
        <w:spacing w:line="480" w:lineRule="auto"/>
        <w:rPr>
          <w:rFonts w:ascii="Arial" w:hAnsi="Arial" w:cs="Arial"/>
          <w:color w:val="000000" w:themeColor="text1"/>
          <w:sz w:val="24"/>
          <w:szCs w:val="24"/>
        </w:rPr>
      </w:pPr>
    </w:p>
    <w:p w14:paraId="5610E7AF" w14:textId="77777777"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b/>
          <w:bCs/>
          <w:color w:val="000000" w:themeColor="text1"/>
          <w:sz w:val="24"/>
          <w:szCs w:val="24"/>
        </w:rPr>
        <w:t>Step 2</w:t>
      </w:r>
      <w:r w:rsidRPr="00423D74">
        <w:rPr>
          <w:rFonts w:ascii="Arial" w:hAnsi="Arial" w:cs="Arial"/>
          <w:color w:val="000000" w:themeColor="text1"/>
          <w:sz w:val="24"/>
          <w:szCs w:val="24"/>
        </w:rPr>
        <w:t xml:space="preserve"> — Calculate growth rates (the bridge)</w:t>
      </w:r>
    </w:p>
    <w:p w14:paraId="619518F0" w14:textId="77777777"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color w:val="000000" w:themeColor="text1"/>
          <w:sz w:val="24"/>
          <w:szCs w:val="24"/>
        </w:rPr>
        <w:t>Converted each actual-to-actual comparison into a YoY % growth rate:</w:t>
      </w:r>
    </w:p>
    <w:p w14:paraId="2FEA8C66" w14:textId="77777777"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color w:val="000000" w:themeColor="text1"/>
          <w:sz w:val="24"/>
          <w:szCs w:val="24"/>
        </w:rPr>
        <w:t>Passengers: 17.07%</w:t>
      </w:r>
    </w:p>
    <w:p w14:paraId="5418FD65" w14:textId="77777777"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color w:val="000000" w:themeColor="text1"/>
          <w:sz w:val="24"/>
          <w:szCs w:val="24"/>
        </w:rPr>
        <w:t>GTV: 20.91%</w:t>
      </w:r>
    </w:p>
    <w:p w14:paraId="5DBDEB73" w14:textId="77777777"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color w:val="000000" w:themeColor="text1"/>
          <w:sz w:val="24"/>
          <w:szCs w:val="24"/>
        </w:rPr>
        <w:t>Avg seat price: 3.41%</w:t>
      </w:r>
    </w:p>
    <w:p w14:paraId="59FE79DC" w14:textId="77777777"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color w:val="000000" w:themeColor="text1"/>
          <w:sz w:val="24"/>
          <w:szCs w:val="24"/>
        </w:rPr>
        <w:t>Operators: 14.54%</w:t>
      </w:r>
    </w:p>
    <w:p w14:paraId="1295DA05" w14:textId="77777777" w:rsidR="00423D74" w:rsidRDefault="00423D74" w:rsidP="00423D74">
      <w:pPr>
        <w:spacing w:line="480" w:lineRule="auto"/>
        <w:rPr>
          <w:rFonts w:ascii="Arial" w:hAnsi="Arial" w:cs="Arial"/>
          <w:color w:val="000000" w:themeColor="text1"/>
          <w:sz w:val="24"/>
          <w:szCs w:val="24"/>
        </w:rPr>
      </w:pPr>
      <w:r w:rsidRPr="00423D74">
        <w:rPr>
          <w:rFonts w:ascii="Arial" w:hAnsi="Arial" w:cs="Arial"/>
          <w:color w:val="000000" w:themeColor="text1"/>
          <w:sz w:val="24"/>
          <w:szCs w:val="24"/>
        </w:rPr>
        <w:t>This is the pivot point — a growth rate is inherently forward-looking, unlike a raw count.</w:t>
      </w:r>
    </w:p>
    <w:p w14:paraId="66243888" w14:textId="77777777" w:rsidR="00B919A6" w:rsidRPr="00423D74" w:rsidRDefault="00B919A6" w:rsidP="00423D74">
      <w:pPr>
        <w:spacing w:line="480" w:lineRule="auto"/>
        <w:rPr>
          <w:rFonts w:ascii="Arial" w:hAnsi="Arial" w:cs="Arial"/>
          <w:color w:val="000000" w:themeColor="text1"/>
          <w:sz w:val="24"/>
          <w:szCs w:val="24"/>
        </w:rPr>
      </w:pPr>
    </w:p>
    <w:p w14:paraId="19D9B747" w14:textId="77777777"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b/>
          <w:bCs/>
          <w:color w:val="000000" w:themeColor="text1"/>
          <w:sz w:val="24"/>
          <w:szCs w:val="24"/>
        </w:rPr>
        <w:t>Step 3</w:t>
      </w:r>
      <w:r w:rsidRPr="00423D74">
        <w:rPr>
          <w:rFonts w:ascii="Arial" w:hAnsi="Arial" w:cs="Arial"/>
          <w:color w:val="000000" w:themeColor="text1"/>
          <w:sz w:val="24"/>
          <w:szCs w:val="24"/>
        </w:rPr>
        <w:t xml:space="preserve"> — Choose a forecasting method</w:t>
      </w:r>
    </w:p>
    <w:p w14:paraId="5058E0E1" w14:textId="41FCF0E7" w:rsidR="00423D74" w:rsidRDefault="00423D74" w:rsidP="00423D74">
      <w:pPr>
        <w:spacing w:line="480" w:lineRule="auto"/>
        <w:rPr>
          <w:rFonts w:ascii="Arial" w:hAnsi="Arial" w:cs="Arial"/>
          <w:color w:val="000000" w:themeColor="text1"/>
          <w:sz w:val="24"/>
          <w:szCs w:val="24"/>
        </w:rPr>
      </w:pPr>
      <w:r w:rsidRPr="00423D74">
        <w:rPr>
          <w:rFonts w:ascii="Arial" w:hAnsi="Arial" w:cs="Arial"/>
          <w:color w:val="000000" w:themeColor="text1"/>
          <w:sz w:val="24"/>
          <w:szCs w:val="24"/>
        </w:rPr>
        <w:t>With only two time periods (not a multi-year series), a trained model (ARIMA/regression) isn't justified. Used naive growth-rate extrapolation: Forecast</w:t>
      </w:r>
      <w:r>
        <w:rPr>
          <w:rFonts w:ascii="Arial" w:hAnsi="Arial" w:cs="Arial"/>
          <w:color w:val="000000" w:themeColor="text1"/>
          <w:sz w:val="24"/>
          <w:szCs w:val="24"/>
        </w:rPr>
        <w:t xml:space="preserve"> </w:t>
      </w:r>
      <w:r w:rsidRPr="00423D74">
        <w:rPr>
          <w:rFonts w:ascii="Arial" w:hAnsi="Arial" w:cs="Arial"/>
          <w:color w:val="000000" w:themeColor="text1"/>
          <w:sz w:val="24"/>
          <w:szCs w:val="24"/>
        </w:rPr>
        <w:t>(FY26) = Actual</w:t>
      </w:r>
      <w:r>
        <w:rPr>
          <w:rFonts w:ascii="Arial" w:hAnsi="Arial" w:cs="Arial"/>
          <w:color w:val="000000" w:themeColor="text1"/>
          <w:sz w:val="24"/>
          <w:szCs w:val="24"/>
        </w:rPr>
        <w:t xml:space="preserve"> </w:t>
      </w:r>
      <w:r w:rsidRPr="00423D74">
        <w:rPr>
          <w:rFonts w:ascii="Arial" w:hAnsi="Arial" w:cs="Arial"/>
          <w:color w:val="000000" w:themeColor="text1"/>
          <w:sz w:val="24"/>
          <w:szCs w:val="24"/>
        </w:rPr>
        <w:t>(FY25) × (1 + growth rate). Stated this limitation explicitly rather than pretending more rigor than the data supports.</w:t>
      </w:r>
    </w:p>
    <w:p w14:paraId="224D0907" w14:textId="77777777" w:rsidR="00B919A6" w:rsidRPr="00423D74" w:rsidRDefault="00B919A6" w:rsidP="00423D74">
      <w:pPr>
        <w:spacing w:line="480" w:lineRule="auto"/>
        <w:rPr>
          <w:rFonts w:ascii="Arial" w:hAnsi="Arial" w:cs="Arial"/>
          <w:color w:val="000000" w:themeColor="text1"/>
          <w:sz w:val="24"/>
          <w:szCs w:val="24"/>
        </w:rPr>
      </w:pPr>
    </w:p>
    <w:p w14:paraId="7CB7F984" w14:textId="77777777"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b/>
          <w:bCs/>
          <w:color w:val="000000" w:themeColor="text1"/>
          <w:sz w:val="24"/>
          <w:szCs w:val="24"/>
        </w:rPr>
        <w:t>Step 4</w:t>
      </w:r>
      <w:r w:rsidRPr="00423D74">
        <w:rPr>
          <w:rFonts w:ascii="Arial" w:hAnsi="Arial" w:cs="Arial"/>
          <w:color w:val="000000" w:themeColor="text1"/>
          <w:sz w:val="24"/>
          <w:szCs w:val="24"/>
        </w:rPr>
        <w:t xml:space="preserve"> — Build scenarios, not a single number</w:t>
      </w:r>
    </w:p>
    <w:p w14:paraId="38EC3EBB" w14:textId="77777777"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color w:val="000000" w:themeColor="text1"/>
          <w:sz w:val="24"/>
          <w:szCs w:val="24"/>
        </w:rPr>
        <w:t>Since one growth rate repeating exactly is uncertain, added Conservative (½ rate), Base (full rate), Optimistic (1.5× rate) — turning a point estimate into a range (e.g., Q4 FY26 passengers: 64.7M–74.9M).</w:t>
      </w:r>
    </w:p>
    <w:p w14:paraId="51CE0808" w14:textId="77777777" w:rsidR="00802D3B" w:rsidRDefault="00802D3B" w:rsidP="00423D74">
      <w:pPr>
        <w:spacing w:line="480" w:lineRule="auto"/>
        <w:rPr>
          <w:rFonts w:ascii="Arial" w:hAnsi="Arial" w:cs="Arial"/>
          <w:b/>
          <w:bCs/>
          <w:color w:val="000000" w:themeColor="text1"/>
          <w:sz w:val="24"/>
          <w:szCs w:val="24"/>
        </w:rPr>
      </w:pPr>
    </w:p>
    <w:p w14:paraId="564497B3" w14:textId="77777777" w:rsidR="00802D3B" w:rsidRDefault="00802D3B" w:rsidP="00423D74">
      <w:pPr>
        <w:spacing w:line="480" w:lineRule="auto"/>
        <w:rPr>
          <w:rFonts w:ascii="Arial" w:hAnsi="Arial" w:cs="Arial"/>
          <w:b/>
          <w:bCs/>
          <w:color w:val="000000" w:themeColor="text1"/>
          <w:sz w:val="24"/>
          <w:szCs w:val="24"/>
        </w:rPr>
      </w:pPr>
    </w:p>
    <w:p w14:paraId="67ED595B" w14:textId="77777777" w:rsidR="00802D3B" w:rsidRDefault="00802D3B" w:rsidP="00423D74">
      <w:pPr>
        <w:spacing w:line="480" w:lineRule="auto"/>
        <w:rPr>
          <w:rFonts w:ascii="Arial" w:hAnsi="Arial" w:cs="Arial"/>
          <w:b/>
          <w:bCs/>
          <w:color w:val="000000" w:themeColor="text1"/>
          <w:sz w:val="24"/>
          <w:szCs w:val="24"/>
        </w:rPr>
      </w:pPr>
    </w:p>
    <w:p w14:paraId="5A2F567C" w14:textId="207C9F05"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b/>
          <w:bCs/>
          <w:color w:val="000000" w:themeColor="text1"/>
          <w:sz w:val="24"/>
          <w:szCs w:val="24"/>
        </w:rPr>
        <w:t>Step 5</w:t>
      </w:r>
      <w:r w:rsidRPr="00423D74">
        <w:rPr>
          <w:rFonts w:ascii="Arial" w:hAnsi="Arial" w:cs="Arial"/>
          <w:color w:val="000000" w:themeColor="text1"/>
          <w:sz w:val="24"/>
          <w:szCs w:val="24"/>
        </w:rPr>
        <w:t xml:space="preserve"> — Decide what not to extrapolate</w:t>
      </w:r>
    </w:p>
    <w:p w14:paraId="6515C8FB" w14:textId="59F2F125"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color w:val="000000" w:themeColor="text1"/>
          <w:sz w:val="24"/>
          <w:szCs w:val="24"/>
        </w:rPr>
        <w:t xml:space="preserve">Judgment step: the 860% pilgrimage-route surge is a one-off event, not a trend — extrapolating it would be a </w:t>
      </w:r>
      <w:r>
        <w:rPr>
          <w:rFonts w:ascii="Arial" w:hAnsi="Arial" w:cs="Arial"/>
          <w:color w:val="000000" w:themeColor="text1"/>
          <w:sz w:val="24"/>
          <w:szCs w:val="24"/>
        </w:rPr>
        <w:t xml:space="preserve">modelling </w:t>
      </w:r>
      <w:r w:rsidRPr="00423D74">
        <w:rPr>
          <w:rFonts w:ascii="Arial" w:hAnsi="Arial" w:cs="Arial"/>
          <w:color w:val="000000" w:themeColor="text1"/>
          <w:sz w:val="24"/>
          <w:szCs w:val="24"/>
        </w:rPr>
        <w:t>error, so it was explicitly excluded and flagged instead.</w:t>
      </w:r>
    </w:p>
    <w:p w14:paraId="056E5B43" w14:textId="77777777" w:rsidR="00802D3B" w:rsidRDefault="00802D3B" w:rsidP="00423D74">
      <w:pPr>
        <w:spacing w:line="480" w:lineRule="auto"/>
        <w:rPr>
          <w:rFonts w:ascii="Arial" w:hAnsi="Arial" w:cs="Arial"/>
          <w:b/>
          <w:bCs/>
          <w:color w:val="000000" w:themeColor="text1"/>
          <w:sz w:val="24"/>
          <w:szCs w:val="24"/>
        </w:rPr>
      </w:pPr>
    </w:p>
    <w:p w14:paraId="0FCC41A5" w14:textId="5CB77773" w:rsidR="00423D74" w:rsidRPr="00423D74" w:rsidRDefault="00423D74" w:rsidP="00423D74">
      <w:pPr>
        <w:spacing w:line="480" w:lineRule="auto"/>
        <w:rPr>
          <w:rFonts w:ascii="Arial" w:hAnsi="Arial" w:cs="Arial"/>
          <w:color w:val="000000" w:themeColor="text1"/>
          <w:sz w:val="24"/>
          <w:szCs w:val="24"/>
        </w:rPr>
      </w:pPr>
      <w:r w:rsidRPr="00423D74">
        <w:rPr>
          <w:rFonts w:ascii="Arial" w:hAnsi="Arial" w:cs="Arial"/>
          <w:b/>
          <w:bCs/>
          <w:color w:val="000000" w:themeColor="text1"/>
          <w:sz w:val="24"/>
          <w:szCs w:val="24"/>
        </w:rPr>
        <w:t>Step 6</w:t>
      </w:r>
      <w:r w:rsidRPr="00423D74">
        <w:rPr>
          <w:rFonts w:ascii="Arial" w:hAnsi="Arial" w:cs="Arial"/>
          <w:color w:val="000000" w:themeColor="text1"/>
          <w:sz w:val="24"/>
          <w:szCs w:val="24"/>
        </w:rPr>
        <w:t xml:space="preserve"> — State limitations</w:t>
      </w:r>
    </w:p>
    <w:p w14:paraId="40E30883" w14:textId="77777777" w:rsidR="00B919A6" w:rsidRDefault="00423D74" w:rsidP="00B919A6">
      <w:pPr>
        <w:spacing w:line="480" w:lineRule="auto"/>
        <w:rPr>
          <w:rFonts w:ascii="Arial" w:hAnsi="Arial" w:cs="Arial"/>
          <w:color w:val="000000" w:themeColor="text1"/>
          <w:sz w:val="24"/>
          <w:szCs w:val="24"/>
        </w:rPr>
      </w:pPr>
      <w:r w:rsidRPr="00423D74">
        <w:rPr>
          <w:rFonts w:ascii="Arial" w:hAnsi="Arial" w:cs="Arial"/>
          <w:color w:val="000000" w:themeColor="text1"/>
          <w:sz w:val="24"/>
          <w:szCs w:val="24"/>
        </w:rPr>
        <w:t>Documented that the forecast assumes past growth continues, ignores external shocks (fuel prices, competition, regulation), and should be replaced once real FY2026 data exists.</w:t>
      </w:r>
    </w:p>
    <w:p w14:paraId="4F5DE43F" w14:textId="77777777" w:rsidR="00B919A6" w:rsidRDefault="00B919A6" w:rsidP="00B919A6">
      <w:pPr>
        <w:spacing w:line="480" w:lineRule="auto"/>
        <w:rPr>
          <w:rFonts w:ascii="Arial" w:hAnsi="Arial" w:cs="Arial"/>
          <w:color w:val="000000" w:themeColor="text1"/>
          <w:sz w:val="24"/>
          <w:szCs w:val="24"/>
        </w:rPr>
      </w:pPr>
    </w:p>
    <w:p w14:paraId="7D5E0D5A" w14:textId="77777777" w:rsidR="00B919A6" w:rsidRDefault="00B919A6" w:rsidP="00B919A6">
      <w:pPr>
        <w:spacing w:line="480" w:lineRule="auto"/>
        <w:rPr>
          <w:rFonts w:ascii="Arial" w:hAnsi="Arial" w:cs="Arial"/>
          <w:color w:val="000000" w:themeColor="text1"/>
          <w:sz w:val="24"/>
          <w:szCs w:val="24"/>
        </w:rPr>
      </w:pPr>
    </w:p>
    <w:p w14:paraId="75B592B5" w14:textId="77777777" w:rsidR="00B919A6" w:rsidRDefault="00B919A6" w:rsidP="00B919A6">
      <w:pPr>
        <w:spacing w:line="480" w:lineRule="auto"/>
        <w:rPr>
          <w:rFonts w:ascii="Arial" w:hAnsi="Arial" w:cs="Arial"/>
          <w:color w:val="000000" w:themeColor="text1"/>
          <w:sz w:val="24"/>
          <w:szCs w:val="24"/>
        </w:rPr>
      </w:pPr>
    </w:p>
    <w:p w14:paraId="51F52221" w14:textId="77777777" w:rsidR="00B919A6" w:rsidRDefault="00B919A6" w:rsidP="00B919A6">
      <w:pPr>
        <w:spacing w:line="480" w:lineRule="auto"/>
        <w:rPr>
          <w:rFonts w:ascii="Arial" w:hAnsi="Arial" w:cs="Arial"/>
          <w:color w:val="000000" w:themeColor="text1"/>
          <w:sz w:val="24"/>
          <w:szCs w:val="24"/>
        </w:rPr>
      </w:pPr>
    </w:p>
    <w:p w14:paraId="47961955" w14:textId="77777777" w:rsidR="00B919A6" w:rsidRDefault="00B919A6" w:rsidP="00B919A6">
      <w:pPr>
        <w:spacing w:line="480" w:lineRule="auto"/>
        <w:rPr>
          <w:rFonts w:ascii="Arial" w:hAnsi="Arial" w:cs="Arial"/>
          <w:color w:val="000000" w:themeColor="text1"/>
          <w:sz w:val="24"/>
          <w:szCs w:val="24"/>
        </w:rPr>
      </w:pPr>
    </w:p>
    <w:p w14:paraId="6C655F3F" w14:textId="77777777" w:rsidR="00B919A6" w:rsidRDefault="00B919A6" w:rsidP="00B919A6">
      <w:pPr>
        <w:spacing w:line="480" w:lineRule="auto"/>
        <w:rPr>
          <w:rFonts w:ascii="Arial" w:hAnsi="Arial" w:cs="Arial"/>
          <w:color w:val="000000" w:themeColor="text1"/>
          <w:sz w:val="24"/>
          <w:szCs w:val="24"/>
        </w:rPr>
      </w:pPr>
    </w:p>
    <w:p w14:paraId="1784AD0A" w14:textId="77777777" w:rsidR="00B919A6" w:rsidRDefault="00B919A6" w:rsidP="00B919A6">
      <w:pPr>
        <w:spacing w:line="480" w:lineRule="auto"/>
        <w:rPr>
          <w:rFonts w:ascii="Arial" w:hAnsi="Arial" w:cs="Arial"/>
          <w:color w:val="000000" w:themeColor="text1"/>
          <w:sz w:val="24"/>
          <w:szCs w:val="24"/>
        </w:rPr>
      </w:pPr>
    </w:p>
    <w:p w14:paraId="087F820C" w14:textId="77777777" w:rsidR="00B919A6" w:rsidRDefault="00B919A6" w:rsidP="00B919A6">
      <w:pPr>
        <w:spacing w:line="480" w:lineRule="auto"/>
        <w:rPr>
          <w:rFonts w:ascii="Arial" w:hAnsi="Arial" w:cs="Arial"/>
          <w:color w:val="000000" w:themeColor="text1"/>
          <w:sz w:val="24"/>
          <w:szCs w:val="24"/>
        </w:rPr>
      </w:pPr>
    </w:p>
    <w:p w14:paraId="625104B3" w14:textId="77777777" w:rsidR="00B919A6" w:rsidRDefault="00B919A6" w:rsidP="00B919A6">
      <w:pPr>
        <w:spacing w:line="480" w:lineRule="auto"/>
        <w:rPr>
          <w:rFonts w:ascii="Arial" w:hAnsi="Arial" w:cs="Arial"/>
          <w:color w:val="000000" w:themeColor="text1"/>
          <w:sz w:val="24"/>
          <w:szCs w:val="24"/>
        </w:rPr>
      </w:pPr>
    </w:p>
    <w:p w14:paraId="5ACC4984" w14:textId="77777777" w:rsidR="00B919A6" w:rsidRDefault="00B919A6" w:rsidP="00B919A6">
      <w:pPr>
        <w:spacing w:line="480" w:lineRule="auto"/>
        <w:rPr>
          <w:rFonts w:ascii="Arial" w:hAnsi="Arial" w:cs="Arial"/>
          <w:color w:val="000000" w:themeColor="text1"/>
          <w:sz w:val="24"/>
          <w:szCs w:val="24"/>
        </w:rPr>
      </w:pPr>
    </w:p>
    <w:p w14:paraId="633E5402" w14:textId="77777777" w:rsidR="00B919A6" w:rsidRDefault="00B919A6" w:rsidP="00B919A6">
      <w:pPr>
        <w:spacing w:line="480" w:lineRule="auto"/>
        <w:rPr>
          <w:rFonts w:ascii="Arial" w:hAnsi="Arial" w:cs="Arial"/>
          <w:color w:val="000000" w:themeColor="text1"/>
          <w:sz w:val="24"/>
          <w:szCs w:val="24"/>
        </w:rPr>
      </w:pPr>
    </w:p>
    <w:p w14:paraId="01A34A45" w14:textId="77777777" w:rsidR="00B919A6" w:rsidRDefault="00B919A6" w:rsidP="00B919A6">
      <w:pPr>
        <w:spacing w:line="480" w:lineRule="auto"/>
        <w:rPr>
          <w:rFonts w:ascii="Arial" w:hAnsi="Arial" w:cs="Arial"/>
          <w:color w:val="000000" w:themeColor="text1"/>
          <w:sz w:val="24"/>
          <w:szCs w:val="24"/>
        </w:rPr>
      </w:pPr>
    </w:p>
    <w:p w14:paraId="6AED4101" w14:textId="77777777" w:rsidR="00B919A6" w:rsidRDefault="00B919A6" w:rsidP="00B919A6">
      <w:pPr>
        <w:spacing w:line="480" w:lineRule="auto"/>
        <w:rPr>
          <w:rFonts w:ascii="Arial" w:hAnsi="Arial" w:cs="Arial"/>
          <w:color w:val="000000" w:themeColor="text1"/>
          <w:sz w:val="24"/>
          <w:szCs w:val="24"/>
        </w:rPr>
      </w:pPr>
    </w:p>
    <w:p w14:paraId="7AEFD02B" w14:textId="77777777" w:rsidR="00B919A6" w:rsidRDefault="00B919A6" w:rsidP="00B919A6">
      <w:pPr>
        <w:spacing w:line="480" w:lineRule="auto"/>
        <w:rPr>
          <w:rFonts w:ascii="Arial" w:hAnsi="Arial" w:cs="Arial"/>
          <w:color w:val="000000" w:themeColor="text1"/>
          <w:sz w:val="24"/>
          <w:szCs w:val="24"/>
        </w:rPr>
      </w:pPr>
    </w:p>
    <w:p w14:paraId="130E592B" w14:textId="77777777" w:rsidR="00B919A6" w:rsidRDefault="00B919A6" w:rsidP="00B919A6">
      <w:pPr>
        <w:spacing w:line="480" w:lineRule="auto"/>
        <w:rPr>
          <w:rFonts w:ascii="Arial" w:hAnsi="Arial" w:cs="Arial"/>
          <w:color w:val="000000" w:themeColor="text1"/>
          <w:sz w:val="24"/>
          <w:szCs w:val="24"/>
        </w:rPr>
      </w:pPr>
    </w:p>
    <w:p w14:paraId="1CE4CBB9" w14:textId="5D11E86C" w:rsidR="00B667A8" w:rsidRPr="00B919A6" w:rsidRDefault="00421C5F" w:rsidP="00B919A6">
      <w:pPr>
        <w:spacing w:line="480" w:lineRule="auto"/>
        <w:rPr>
          <w:rFonts w:ascii="Arial" w:hAnsi="Arial" w:cs="Arial"/>
          <w:color w:val="000000" w:themeColor="text1"/>
          <w:sz w:val="24"/>
          <w:szCs w:val="24"/>
        </w:rPr>
      </w:pPr>
      <w:r w:rsidRPr="00945728">
        <w:rPr>
          <w:rFonts w:ascii="Arial" w:hAnsi="Arial" w:cs="Arial"/>
          <w:b/>
          <w:bCs/>
          <w:color w:val="000000" w:themeColor="text1"/>
          <w:sz w:val="30"/>
          <w:szCs w:val="30"/>
        </w:rPr>
        <w:lastRenderedPageBreak/>
        <w:t>18. KPI Dashboard</w:t>
      </w:r>
    </w:p>
    <w:p w14:paraId="6A478606" w14:textId="77777777" w:rsidR="00802D3B" w:rsidRDefault="00802D3B" w:rsidP="00945728">
      <w:pPr>
        <w:spacing w:after="120" w:line="360" w:lineRule="auto"/>
        <w:rPr>
          <w:rFonts w:ascii="Arial" w:hAnsi="Arial" w:cs="Arial"/>
          <w:color w:val="000000" w:themeColor="text1"/>
          <w:sz w:val="22"/>
          <w:szCs w:val="22"/>
        </w:rPr>
      </w:pPr>
    </w:p>
    <w:p w14:paraId="106834FA" w14:textId="01E28651" w:rsidR="00B667A8" w:rsidRDefault="00421C5F" w:rsidP="00945728">
      <w:pPr>
        <w:spacing w:after="120" w:line="360" w:lineRule="auto"/>
        <w:rPr>
          <w:rFonts w:ascii="Arial" w:hAnsi="Arial" w:cs="Arial"/>
          <w:color w:val="000000" w:themeColor="text1"/>
          <w:sz w:val="22"/>
          <w:szCs w:val="22"/>
        </w:rPr>
      </w:pPr>
      <w:r w:rsidRPr="00945728">
        <w:rPr>
          <w:rFonts w:ascii="Arial" w:hAnsi="Arial" w:cs="Arial"/>
          <w:color w:val="000000" w:themeColor="text1"/>
          <w:sz w:val="22"/>
          <w:szCs w:val="22"/>
        </w:rPr>
        <w:t>Consolidated KPIs from Sections 3–14, all calculated or sourced directly from the official Bus</w:t>
      </w:r>
      <w:r w:rsidR="00945728">
        <w:rPr>
          <w:rFonts w:ascii="Arial" w:hAnsi="Arial" w:cs="Arial"/>
          <w:color w:val="000000" w:themeColor="text1"/>
          <w:sz w:val="22"/>
          <w:szCs w:val="22"/>
        </w:rPr>
        <w:t xml:space="preserve"> </w:t>
      </w:r>
      <w:r w:rsidRPr="00945728">
        <w:rPr>
          <w:rFonts w:ascii="Arial" w:hAnsi="Arial" w:cs="Arial"/>
          <w:color w:val="000000" w:themeColor="text1"/>
          <w:sz w:val="22"/>
          <w:szCs w:val="22"/>
        </w:rPr>
        <w:t>Track FY2025 dataset.</w:t>
      </w:r>
    </w:p>
    <w:p w14:paraId="3693BC9C" w14:textId="77777777" w:rsidR="00802D3B" w:rsidRPr="00945728" w:rsidRDefault="00802D3B" w:rsidP="00945728">
      <w:pPr>
        <w:spacing w:after="120" w:line="360" w:lineRule="auto"/>
        <w:rPr>
          <w:rFonts w:ascii="Arial" w:hAnsi="Arial" w:cs="Arial"/>
          <w:color w:val="000000" w:themeColor="text1"/>
        </w:rPr>
      </w:pPr>
    </w:p>
    <w:tbl>
      <w:tblPr>
        <w:tblStyle w:val="TableGrid"/>
        <w:tblW w:w="10797" w:type="dxa"/>
        <w:tblLook w:val="04A0" w:firstRow="1" w:lastRow="0" w:firstColumn="1" w:lastColumn="0" w:noHBand="0" w:noVBand="1"/>
      </w:tblPr>
      <w:tblGrid>
        <w:gridCol w:w="3359"/>
        <w:gridCol w:w="5039"/>
        <w:gridCol w:w="2399"/>
      </w:tblGrid>
      <w:tr w:rsidR="00B667A8" w:rsidRPr="00945728" w14:paraId="5A3BB353" w14:textId="77777777" w:rsidTr="00802D3B">
        <w:trPr>
          <w:trHeight w:val="547"/>
        </w:trPr>
        <w:tc>
          <w:tcPr>
            <w:tcW w:w="3359" w:type="dxa"/>
          </w:tcPr>
          <w:p w14:paraId="08C51A37"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KPI</w:t>
            </w:r>
          </w:p>
        </w:tc>
        <w:tc>
          <w:tcPr>
            <w:tcW w:w="5039" w:type="dxa"/>
          </w:tcPr>
          <w:p w14:paraId="0C8B56B9"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Formula</w:t>
            </w:r>
          </w:p>
        </w:tc>
        <w:tc>
          <w:tcPr>
            <w:tcW w:w="2399" w:type="dxa"/>
          </w:tcPr>
          <w:p w14:paraId="588AA729"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b/>
                <w:bCs/>
                <w:color w:val="000000" w:themeColor="text1"/>
              </w:rPr>
              <w:t>Result</w:t>
            </w:r>
          </w:p>
        </w:tc>
      </w:tr>
      <w:tr w:rsidR="00B667A8" w:rsidRPr="00945728" w14:paraId="5240346A" w14:textId="77777777" w:rsidTr="00802D3B">
        <w:trPr>
          <w:trHeight w:val="520"/>
        </w:trPr>
        <w:tc>
          <w:tcPr>
            <w:tcW w:w="3359" w:type="dxa"/>
          </w:tcPr>
          <w:p w14:paraId="3F5B526A"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Passenger growth</w:t>
            </w:r>
          </w:p>
        </w:tc>
        <w:tc>
          <w:tcPr>
            <w:tcW w:w="5039" w:type="dxa"/>
          </w:tcPr>
          <w:p w14:paraId="2D758F7D"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(Q4FY25 − Q4FY24) ÷ Q4FY24 × 100</w:t>
            </w:r>
          </w:p>
        </w:tc>
        <w:tc>
          <w:tcPr>
            <w:tcW w:w="2399" w:type="dxa"/>
          </w:tcPr>
          <w:p w14:paraId="120E863B"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17.07% YoY</w:t>
            </w:r>
          </w:p>
        </w:tc>
      </w:tr>
      <w:tr w:rsidR="00B667A8" w:rsidRPr="00945728" w14:paraId="799609C7" w14:textId="77777777" w:rsidTr="00802D3B">
        <w:trPr>
          <w:trHeight w:val="1094"/>
        </w:trPr>
        <w:tc>
          <w:tcPr>
            <w:tcW w:w="3359" w:type="dxa"/>
          </w:tcPr>
          <w:p w14:paraId="04279C14"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GTV growth</w:t>
            </w:r>
          </w:p>
        </w:tc>
        <w:tc>
          <w:tcPr>
            <w:tcW w:w="5039" w:type="dxa"/>
          </w:tcPr>
          <w:p w14:paraId="7E9B6F5F"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(Q4FY25 GTV − Q4FY24 GTV) ÷ Q4FY24 GTV × 100</w:t>
            </w:r>
          </w:p>
        </w:tc>
        <w:tc>
          <w:tcPr>
            <w:tcW w:w="2399" w:type="dxa"/>
          </w:tcPr>
          <w:p w14:paraId="2C0C93FD"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20.91% YoY</w:t>
            </w:r>
          </w:p>
        </w:tc>
      </w:tr>
      <w:tr w:rsidR="00B667A8" w:rsidRPr="00945728" w14:paraId="7F3B1EDE" w14:textId="77777777" w:rsidTr="00802D3B">
        <w:trPr>
          <w:trHeight w:val="1094"/>
        </w:trPr>
        <w:tc>
          <w:tcPr>
            <w:tcW w:w="3359" w:type="dxa"/>
          </w:tcPr>
          <w:p w14:paraId="0C021254"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Average seat price growth</w:t>
            </w:r>
          </w:p>
        </w:tc>
        <w:tc>
          <w:tcPr>
            <w:tcW w:w="5039" w:type="dxa"/>
          </w:tcPr>
          <w:p w14:paraId="4685DDE2"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(Q4FY25 price − Q4FY24 price) ÷ Q4FY24 price × 100</w:t>
            </w:r>
          </w:p>
        </w:tc>
        <w:tc>
          <w:tcPr>
            <w:tcW w:w="2399" w:type="dxa"/>
          </w:tcPr>
          <w:p w14:paraId="189DF7E1"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3.41% YoY</w:t>
            </w:r>
          </w:p>
        </w:tc>
      </w:tr>
      <w:tr w:rsidR="00B667A8" w:rsidRPr="00945728" w14:paraId="4CCC3070" w14:textId="77777777" w:rsidTr="00802D3B">
        <w:trPr>
          <w:trHeight w:val="1094"/>
        </w:trPr>
        <w:tc>
          <w:tcPr>
            <w:tcW w:w="3359" w:type="dxa"/>
          </w:tcPr>
          <w:p w14:paraId="1A1C2A54"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Active private-operator growth</w:t>
            </w:r>
          </w:p>
        </w:tc>
        <w:tc>
          <w:tcPr>
            <w:tcW w:w="5039" w:type="dxa"/>
          </w:tcPr>
          <w:p w14:paraId="45909FC6"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(Q4FY25 ops − Q4FY24 ops) ÷ Q4FY24 ops × 100</w:t>
            </w:r>
          </w:p>
        </w:tc>
        <w:tc>
          <w:tcPr>
            <w:tcW w:w="2399" w:type="dxa"/>
          </w:tcPr>
          <w:p w14:paraId="584E3ECD"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14.54% YoY</w:t>
            </w:r>
          </w:p>
        </w:tc>
      </w:tr>
      <w:tr w:rsidR="00B667A8" w:rsidRPr="00945728" w14:paraId="790B3CD3" w14:textId="77777777" w:rsidTr="00802D3B">
        <w:trPr>
          <w:trHeight w:val="547"/>
        </w:trPr>
        <w:tc>
          <w:tcPr>
            <w:tcW w:w="3359" w:type="dxa"/>
          </w:tcPr>
          <w:p w14:paraId="506B1D17"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AC booking share</w:t>
            </w:r>
          </w:p>
        </w:tc>
        <w:tc>
          <w:tcPr>
            <w:tcW w:w="5039" w:type="dxa"/>
          </w:tcPr>
          <w:p w14:paraId="3847E47B"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AC bookings ÷ Total bookings × 100</w:t>
            </w:r>
          </w:p>
        </w:tc>
        <w:tc>
          <w:tcPr>
            <w:tcW w:w="2399" w:type="dxa"/>
          </w:tcPr>
          <w:p w14:paraId="39151674"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67% (FY2025)</w:t>
            </w:r>
          </w:p>
        </w:tc>
      </w:tr>
      <w:tr w:rsidR="00B667A8" w:rsidRPr="00945728" w14:paraId="379299A3" w14:textId="77777777" w:rsidTr="00802D3B">
        <w:trPr>
          <w:trHeight w:val="619"/>
        </w:trPr>
        <w:tc>
          <w:tcPr>
            <w:tcW w:w="3359" w:type="dxa"/>
          </w:tcPr>
          <w:p w14:paraId="3F295EF1"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Non-metro origin share</w:t>
            </w:r>
          </w:p>
        </w:tc>
        <w:tc>
          <w:tcPr>
            <w:tcW w:w="5039" w:type="dxa"/>
          </w:tcPr>
          <w:p w14:paraId="312C19CB"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Non-metro passengers ÷ Total passengers × 100</w:t>
            </w:r>
          </w:p>
        </w:tc>
        <w:tc>
          <w:tcPr>
            <w:tcW w:w="2399" w:type="dxa"/>
          </w:tcPr>
          <w:p w14:paraId="03E65D36" w14:textId="77777777" w:rsidR="00B667A8" w:rsidRPr="00945728" w:rsidRDefault="00421C5F" w:rsidP="00945728">
            <w:pPr>
              <w:spacing w:line="360" w:lineRule="auto"/>
              <w:rPr>
                <w:rFonts w:ascii="Arial" w:hAnsi="Arial" w:cs="Arial"/>
                <w:color w:val="000000" w:themeColor="text1"/>
              </w:rPr>
            </w:pPr>
            <w:r w:rsidRPr="00945728">
              <w:rPr>
                <w:rFonts w:ascii="Arial" w:hAnsi="Arial" w:cs="Arial"/>
                <w:color w:val="000000" w:themeColor="text1"/>
              </w:rPr>
              <w:t>68% (FY2025)</w:t>
            </w:r>
          </w:p>
        </w:tc>
      </w:tr>
    </w:tbl>
    <w:p w14:paraId="23B8A474" w14:textId="77777777" w:rsidR="00802D3B" w:rsidRDefault="00802D3B" w:rsidP="00945728">
      <w:pPr>
        <w:spacing w:after="120" w:line="360" w:lineRule="auto"/>
        <w:rPr>
          <w:rFonts w:ascii="Arial" w:hAnsi="Arial" w:cs="Arial"/>
          <w:b/>
          <w:bCs/>
          <w:color w:val="000000" w:themeColor="text1"/>
          <w:sz w:val="22"/>
          <w:szCs w:val="22"/>
        </w:rPr>
      </w:pPr>
    </w:p>
    <w:p w14:paraId="356C8B23" w14:textId="40B1CC9E" w:rsidR="00B667A8" w:rsidRPr="00945728" w:rsidRDefault="00421C5F" w:rsidP="00945728">
      <w:pPr>
        <w:spacing w:after="120" w:line="360" w:lineRule="auto"/>
        <w:rPr>
          <w:rFonts w:ascii="Arial" w:hAnsi="Arial" w:cs="Arial"/>
          <w:color w:val="000000" w:themeColor="text1"/>
        </w:rPr>
      </w:pPr>
      <w:r w:rsidRPr="00945728">
        <w:rPr>
          <w:rFonts w:ascii="Arial" w:hAnsi="Arial" w:cs="Arial"/>
          <w:b/>
          <w:bCs/>
          <w:color w:val="000000" w:themeColor="text1"/>
          <w:sz w:val="22"/>
          <w:szCs w:val="22"/>
        </w:rPr>
        <w:t>Overall KPI Insight: growth in FY2025 was broad-based across passengers, revenue and operators, with comfort (AC) and non-metro demand as the two clearest structural patterns in the data, and pilgrimage travel as the single largest source of short-term demand spikes.</w:t>
      </w:r>
    </w:p>
    <w:sectPr w:rsidR="00B667A8" w:rsidRPr="00945728">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1B91D" w14:textId="77777777" w:rsidR="003550A1" w:rsidRDefault="003550A1">
      <w:r>
        <w:separator/>
      </w:r>
    </w:p>
  </w:endnote>
  <w:endnote w:type="continuationSeparator" w:id="0">
    <w:p w14:paraId="45A9F8F5" w14:textId="77777777" w:rsidR="003550A1" w:rsidRDefault="00355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917AD" w14:textId="77777777" w:rsidR="00B667A8" w:rsidRDefault="00421C5F">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4572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DA65D" w14:textId="77777777" w:rsidR="003550A1" w:rsidRDefault="003550A1">
      <w:r>
        <w:separator/>
      </w:r>
    </w:p>
  </w:footnote>
  <w:footnote w:type="continuationSeparator" w:id="0">
    <w:p w14:paraId="59220F0E" w14:textId="77777777" w:rsidR="003550A1" w:rsidRDefault="00355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5A34" w14:textId="3FE833B8" w:rsidR="00B667A8" w:rsidRDefault="00B667A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6207"/>
    <w:multiLevelType w:val="hybridMultilevel"/>
    <w:tmpl w:val="D2BC212A"/>
    <w:lvl w:ilvl="0" w:tplc="C7E42744">
      <w:start w:val="1"/>
      <w:numFmt w:val="bullet"/>
      <w:lvlText w:val="●"/>
      <w:lvlJc w:val="left"/>
      <w:pPr>
        <w:ind w:left="720" w:hanging="360"/>
      </w:pPr>
    </w:lvl>
    <w:lvl w:ilvl="1" w:tplc="A68CCA60">
      <w:start w:val="1"/>
      <w:numFmt w:val="bullet"/>
      <w:lvlText w:val="○"/>
      <w:lvlJc w:val="left"/>
      <w:pPr>
        <w:ind w:left="1440" w:hanging="360"/>
      </w:pPr>
    </w:lvl>
    <w:lvl w:ilvl="2" w:tplc="797608BE">
      <w:start w:val="1"/>
      <w:numFmt w:val="bullet"/>
      <w:lvlText w:val="■"/>
      <w:lvlJc w:val="left"/>
      <w:pPr>
        <w:ind w:left="2160" w:hanging="360"/>
      </w:pPr>
    </w:lvl>
    <w:lvl w:ilvl="3" w:tplc="CC8CC030">
      <w:start w:val="1"/>
      <w:numFmt w:val="bullet"/>
      <w:lvlText w:val="●"/>
      <w:lvlJc w:val="left"/>
      <w:pPr>
        <w:ind w:left="2880" w:hanging="360"/>
      </w:pPr>
    </w:lvl>
    <w:lvl w:ilvl="4" w:tplc="9412ED30">
      <w:start w:val="1"/>
      <w:numFmt w:val="bullet"/>
      <w:lvlText w:val="○"/>
      <w:lvlJc w:val="left"/>
      <w:pPr>
        <w:ind w:left="3600" w:hanging="360"/>
      </w:pPr>
    </w:lvl>
    <w:lvl w:ilvl="5" w:tplc="D7849468">
      <w:start w:val="1"/>
      <w:numFmt w:val="bullet"/>
      <w:lvlText w:val="■"/>
      <w:lvlJc w:val="left"/>
      <w:pPr>
        <w:ind w:left="4320" w:hanging="360"/>
      </w:pPr>
    </w:lvl>
    <w:lvl w:ilvl="6" w:tplc="BC8E45D2">
      <w:start w:val="1"/>
      <w:numFmt w:val="bullet"/>
      <w:lvlText w:val="●"/>
      <w:lvlJc w:val="left"/>
      <w:pPr>
        <w:ind w:left="5040" w:hanging="360"/>
      </w:pPr>
    </w:lvl>
    <w:lvl w:ilvl="7" w:tplc="FEFE1022">
      <w:start w:val="1"/>
      <w:numFmt w:val="bullet"/>
      <w:lvlText w:val="●"/>
      <w:lvlJc w:val="left"/>
      <w:pPr>
        <w:ind w:left="5760" w:hanging="360"/>
      </w:pPr>
    </w:lvl>
    <w:lvl w:ilvl="8" w:tplc="37146BB4">
      <w:start w:val="1"/>
      <w:numFmt w:val="bullet"/>
      <w:lvlText w:val="●"/>
      <w:lvlJc w:val="left"/>
      <w:pPr>
        <w:ind w:left="6480" w:hanging="360"/>
      </w:pPr>
    </w:lvl>
  </w:abstractNum>
  <w:abstractNum w:abstractNumId="1" w15:restartNumberingAfterBreak="0">
    <w:nsid w:val="73BC4B46"/>
    <w:multiLevelType w:val="hybridMultilevel"/>
    <w:tmpl w:val="E6D8A9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5521608">
    <w:abstractNumId w:val="0"/>
    <w:lvlOverride w:ilvl="0">
      <w:startOverride w:val="1"/>
    </w:lvlOverride>
  </w:num>
  <w:num w:numId="2" w16cid:durableId="1731268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7A8"/>
    <w:rsid w:val="001822C3"/>
    <w:rsid w:val="003550A1"/>
    <w:rsid w:val="00421C5F"/>
    <w:rsid w:val="00423D74"/>
    <w:rsid w:val="00802D3B"/>
    <w:rsid w:val="008E5FD0"/>
    <w:rsid w:val="00945728"/>
    <w:rsid w:val="00B667A8"/>
    <w:rsid w:val="00B919A6"/>
    <w:rsid w:val="00BF4605"/>
    <w:rsid w:val="00DC68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E65A0"/>
  <w15:docId w15:val="{C658831A-DB45-41DA-834E-26DA16F1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23D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2153</Words>
  <Characters>12273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sejal yadav</cp:lastModifiedBy>
  <cp:revision>4</cp:revision>
  <dcterms:created xsi:type="dcterms:W3CDTF">2026-08-13T07:15:00Z</dcterms:created>
  <dcterms:modified xsi:type="dcterms:W3CDTF">2026-10-09T13:27:00Z</dcterms:modified>
</cp:coreProperties>
</file>