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Starting the new Solverminds E-Com portal</w:t>
      </w:r>
    </w:p>
    <w:p>
      <w:r>
        <w:t xml:space="preserve">The process to go from zero to a first shippable module — access and readiness, day-0 bootstrap, environments, the development workflow, and the phased roadmap. This is the "how we work" companion to the hands-on Setup Guide and the per-module Migration Playbook.</w:t>
      </w:r>
    </w:p>
    <w:p>
      <w:pPr>
        <w:pStyle w:val="Heading1"/>
      </w:pPr>
      <w:r>
        <w:t xml:space="preserve">The path in one view</w:t>
      </w:r>
    </w:p>
    <w:p>
      <w:r>
        <w:t xml:space="preserve">Build the reusable platform once, prove it with one read-mostly module end to end, then repeat the Migration Playbook per module. Nothing is a big-bang rewrite; the legacy portal keeps running until each route is switched over.</w:t>
      </w:r>
    </w:p>
    <w:p>
      <w:pPr>
        <w:pStyle w:val="Heading1"/>
      </w:pPr>
      <w:r>
        <w:t xml:space="preserve">Access &amp; readiness</w:t>
      </w:r>
    </w:p>
    <w:p>
      <w:r>
        <w:t xml:space="preserve">Before any code, confirm the team has what it needs:</w:t>
      </w:r>
    </w:p>
    <w:p>
      <w:pPr>
        <w:pStyle w:val="ListParagraph"/>
        <w:numPr>
          <w:ilvl w:val="0"/>
          <w:numId w:val="1"/>
        </w:numPr>
      </w:pPr>
      <w:r>
        <w:t xml:space="preserve">Git repo + branch permissions; CI provider; a private artifact repository for the backend JARs (no local filesystem paths).</w:t>
      </w:r>
    </w:p>
    <w:p>
      <w:pPr>
        <w:pStyle w:val="ListParagraph"/>
        <w:numPr>
          <w:ilvl w:val="0"/>
          <w:numId w:val="1"/>
        </w:numPr>
      </w:pPr>
      <w:r>
        <w:t xml:space="preserve">Backend REST facade reachable in dev + its OpenAPI spec URL; auth endpoints (login / refresh) available.</w:t>
      </w:r>
    </w:p>
    <w:p>
      <w:pPr>
        <w:pStyle w:val="ListParagraph"/>
        <w:numPr>
          <w:ilvl w:val="0"/>
          <w:numId w:val="1"/>
        </w:numPr>
      </w:pPr>
      <w:r>
        <w:t xml:space="preserve">Access to the legacy e-comOnlineWeb_New source (read-only reference) and the CRM shared-ui / theme libs.</w:t>
      </w:r>
    </w:p>
    <w:p>
      <w:pPr>
        <w:pStyle w:val="ListParagraph"/>
        <w:numPr>
          <w:ilvl w:val="0"/>
          <w:numId w:val="1"/>
        </w:numPr>
      </w:pPr>
      <w:r>
        <w:t xml:space="preserve">Third-party keys where needed: reCAPTCHA, AG Grid Enterprise, payment gateway sandbox (Stripe / N-Genius).</w:t>
      </w:r>
    </w:p>
    <w:p>
      <w:pPr>
        <w:pStyle w:val="ListParagraph"/>
        <w:numPr>
          <w:ilvl w:val="0"/>
          <w:numId w:val="1"/>
        </w:numPr>
      </w:pPr>
      <w:r>
        <w:t xml:space="preserve">Tooling: Node 24 LTS, pnpm 10, Cursor IDE with the migration .cursor/rules file installed.</w:t>
      </w:r>
    </w:p>
    <w:p>
      <w:pPr>
        <w:pStyle w:val="Heading1"/>
      </w:pPr>
      <w:r>
        <w:t xml:space="preserve">Day-0 bootstrap</w:t>
      </w:r>
    </w:p>
    <w:p>
      <w:r>
        <w:t xml:space="preserve">Follow the Project Setup Guide steps 00–09 to stand up the workspace, shared libs, theme, config, API client, state, auth, and the app shell. Definition of ready to build features:</w:t>
      </w:r>
    </w:p>
    <w:p>
      <w:pPr>
        <w:pStyle w:val="ListParagraph"/>
        <w:numPr>
          <w:ilvl w:val="0"/>
          <w:numId w:val="1"/>
        </w:numPr>
      </w:pPr>
      <w:r>
        <w:t xml:space="preserve">Nx + pnpm workspace builds; apps/ecom-portal serves the themed app shell.</w:t>
      </w:r>
    </w:p>
    <w:p>
      <w:pPr>
        <w:pStyle w:val="ListParagraph"/>
        <w:numPr>
          <w:ilvl w:val="0"/>
          <w:numId w:val="1"/>
        </w:numPr>
      </w:pPr>
      <w:r>
        <w:t xml:space="preserve">Login works against the real auth endpoints; a gated route redirects when unauthenticated.</w:t>
      </w:r>
    </w:p>
    <w:p>
      <w:pPr>
        <w:pStyle w:val="ListParagraph"/>
        <w:numPr>
          <w:ilvl w:val="0"/>
          <w:numId w:val="1"/>
        </w:numPr>
      </w:pPr>
      <w:r>
        <w:t xml:space="preserve">OpenAPI types generate; a sample typed query returns through the shared api client (mock + real).</w:t>
      </w:r>
    </w:p>
    <w:p>
      <w:pPr>
        <w:pStyle w:val="ListParagraph"/>
        <w:numPr>
          <w:ilvl w:val="0"/>
          <w:numId w:val="1"/>
        </w:numPr>
      </w:pPr>
      <w:r>
        <w:t xml:space="preserve">Lint, typecheck, unit, and one Playwright smoke test run green in CI.</w:t>
      </w:r>
    </w:p>
    <w:p>
      <w:pPr>
        <w:pStyle w:val="Heading1"/>
      </w:pPr>
      <w:r>
        <w:t xml:space="preserve">Environments</w:t>
      </w:r>
    </w:p>
    <w:tbl>
      <w:tblPr>
        <w:tblStyle w:val="TableGrid"/>
        <w:tblW w:w="936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E4E7EC"/>
          <w:insideV w:val="single" w:sz="4" w:color="E4E7EC"/>
        </w:tblBorders>
      </w:tblPr>
      <w:tblGrid>
        <w:gridCol w:w="4680"/>
        <w:gridCol w:w="4680"/>
      </w:tblGrid>
      <w:tr>
        <w:tc>
          <w:tcPr>
            <w:tcW w:w="4680" w:type="dxa"/>
            <w:shd w:val="clear" w:fill="F0F2F5"/>
          </w:tcPr>
          <w:p>
            <w:r>
              <w:rPr>
                <w:b/>
              </w:rPr>
              <w:t xml:space="preserve">Env</w:t>
            </w:r>
          </w:p>
        </w:tc>
        <w:tc>
          <w:tcPr>
            <w:tcW w:w="4680" w:type="dxa"/>
            <w:shd w:val="clear" w:fill="F0F2F5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680" w:type="dxa"/>
          </w:tcPr>
          <w:p>
            <w:r>
              <w:t xml:space="preserve">Local</w:t>
            </w:r>
          </w:p>
        </w:tc>
        <w:tc>
          <w:tcPr>
            <w:tcW w:w="4680" w:type="dxa"/>
          </w:tcPr>
          <w:p>
            <w:r>
              <w:t xml:space="preserve">Vite dev server; VITE_API_MODE=mock (MSW) or point at the dev API.</w:t>
            </w:r>
          </w:p>
        </w:tc>
      </w:tr>
      <w:tr>
        <w:tc>
          <w:tcPr>
            <w:tcW w:w="4680" w:type="dxa"/>
          </w:tcPr>
          <w:p>
            <w:r>
              <w:t xml:space="preserve">Dev / integration</w:t>
            </w:r>
          </w:p>
        </w:tc>
        <w:tc>
          <w:tcPr>
            <w:tcW w:w="4680" w:type="dxa"/>
          </w:tcPr>
          <w:p>
            <w:r>
              <w:t xml:space="preserve">Real REST facade + dev DB; where FE and BE meet per module.</w:t>
            </w:r>
          </w:p>
        </w:tc>
      </w:tr>
      <w:tr>
        <w:tc>
          <w:tcPr>
            <w:tcW w:w="4680" w:type="dxa"/>
          </w:tcPr>
          <w:p>
            <w:r>
              <w:t xml:space="preserve">Staging</w:t>
            </w:r>
          </w:p>
        </w:tc>
        <w:tc>
          <w:tcPr>
            <w:tcW w:w="4680" w:type="dxa"/>
          </w:tcPr>
          <w:p>
            <w:r>
              <w:t xml:space="preserve">Production-like; parity checks vs the legacy portal; smoke tests before release.</w:t>
            </w:r>
          </w:p>
        </w:tc>
      </w:tr>
      <w:tr>
        <w:tc>
          <w:tcPr>
            <w:tcW w:w="4680" w:type="dxa"/>
          </w:tcPr>
          <w:p>
            <w:r>
              <w:t xml:space="preserve">Production</w:t>
            </w:r>
          </w:p>
        </w:tc>
        <w:tc>
          <w:tcPr>
            <w:tcW w:w="4680" w:type="dxa"/>
          </w:tcPr>
          <w:p>
            <w:r>
              <w:t xml:space="preserve">SPA on CDN + REST facade; modules enabled behind flags, legacy JSP still live for rollback.</w:t>
            </w:r>
          </w:p>
        </w:tc>
      </w:tr>
    </w:tbl>
    <w:p>
      <w:r>
        <w:t xml:space="preserve">Per-env config is Zod-validated; only public values in VITE_*. Secrets stay server-side.</w:t>
      </w:r>
    </w:p>
    <w:p>
      <w:pPr>
        <w:pStyle w:val="Heading1"/>
      </w:pPr>
      <w:r>
        <w:t xml:space="preserve">Development workflow</w:t>
      </w:r>
    </w:p>
    <w:p>
      <w:pPr>
        <w:pStyle w:val="ListParagraph"/>
        <w:numPr>
          <w:ilvl w:val="0"/>
          <w:numId w:val="1"/>
        </w:numPr>
      </w:pPr>
      <w:r>
        <w:t xml:space="preserve">Branch per module/feature off main; one module per PR.</w:t>
      </w:r>
    </w:p>
    <w:p>
      <w:pPr>
        <w:pStyle w:val="ListParagraph"/>
        <w:numPr>
          <w:ilvl w:val="0"/>
          <w:numId w:val="1"/>
        </w:numPr>
      </w:pPr>
      <w:r>
        <w:t xml:space="preserve">Iterate freely while building; run lint/format/typecheck as a review-and-commit gate, not after every edit.</w:t>
      </w:r>
    </w:p>
    <w:p>
      <w:pPr>
        <w:pStyle w:val="ListParagraph"/>
        <w:numPr>
          <w:ilvl w:val="0"/>
          <w:numId w:val="1"/>
        </w:numPr>
      </w:pPr>
      <w:r>
        <w:t xml:space="preserve">Conventional Commits (commitlint) — the PR title becomes the squash message and changelog line.</w:t>
      </w:r>
    </w:p>
    <w:p>
      <w:pPr>
        <w:pStyle w:val="ListParagraph"/>
        <w:numPr>
          <w:ilvl w:val="0"/>
          <w:numId w:val="1"/>
        </w:numPr>
      </w:pPr>
      <w:r>
        <w:t xml:space="preserve">CI runs nx affected lint + typecheck + test + build with a bundle budget.</w:t>
      </w:r>
    </w:p>
    <w:p>
      <w:pPr>
        <w:pStyle w:val="ListParagraph"/>
        <w:numPr>
          <w:ilvl w:val="0"/>
          <w:numId w:val="1"/>
        </w:numPr>
      </w:pPr>
      <w:r>
        <w:t xml:space="preserve">Cursor is used with the migration rules file + the pinned reference module for consistency.</w:t>
      </w:r>
    </w:p>
    <w:p>
      <w:pPr>
        <w:pStyle w:val="ListParagraph"/>
        <w:numPr>
          <w:ilvl w:val="0"/>
          <w:numId w:val="1"/>
        </w:numPr>
      </w:pPr>
      <w:r>
        <w:t xml:space="preserve">Every module follows the 12-step Migration Playbook and its Definition of Done before merge.</w:t>
      </w:r>
    </w:p>
    <w:p>
      <w:pPr>
        <w:pStyle w:val="Heading1"/>
      </w:pPr>
      <w:r>
        <w:t xml:space="preserve">Delivery roadmap</w:t>
      </w:r>
    </w:p>
    <w:p>
      <w:pPr>
        <w:pStyle w:val="Heading1"/>
      </w:pPr>
      <w:r>
        <w:t xml:space="preserve">Team &amp; onboarding</w:t>
      </w:r>
    </w:p>
    <w:p>
      <w:pPr>
        <w:pStyle w:val="ListParagraph"/>
        <w:numPr>
          <w:ilvl w:val="0"/>
          <w:numId w:val="1"/>
        </w:numPr>
      </w:pPr>
      <w:r>
        <w:t xml:space="preserve">Roles — FE engineers (feature slices), a platform owner (shared libs/theme/api), a BE engineer (REST facade over EJB), QA (parity + e2e).</w:t>
      </w:r>
    </w:p>
    <w:p>
      <w:pPr>
        <w:pStyle w:val="ListParagraph"/>
        <w:numPr>
          <w:ilvl w:val="0"/>
          <w:numId w:val="1"/>
        </w:numPr>
      </w:pPr>
      <w:r>
        <w:t xml:space="preserve">Onboarding path — read the Architecture Analysis → run the Setup Guide → study the pinned reference module → pick a module and follow the Playbook.</w:t>
      </w:r>
    </w:p>
    <w:p>
      <w:pPr>
        <w:pStyle w:val="ListParagraph"/>
        <w:numPr>
          <w:ilvl w:val="0"/>
          <w:numId w:val="1"/>
        </w:numPr>
      </w:pPr>
      <w:r>
        <w:t xml:space="preserve">Shared conventions live in AGENTS.md/coding rules + the Cursor rules file so every engineer (and the AI) builds the same way.</w:t>
      </w:r>
    </w:p>
    <w:p>
      <w:pPr>
        <w:pStyle w:val="Heading1"/>
      </w:pPr>
      <w:r>
        <w:t xml:space="preserve">Cadence &amp; rituals</w:t>
      </w:r>
    </w:p>
    <w:p>
      <w:pPr>
        <w:pStyle w:val="ListParagraph"/>
        <w:numPr>
          <w:ilvl w:val="0"/>
          <w:numId w:val="1"/>
        </w:numPr>
      </w:pPr>
      <w:r>
        <w:t xml:space="preserve">Short iterations; a module is the unit of delivery — scope PRs to fit one.</w:t>
      </w:r>
    </w:p>
    <w:p>
      <w:pPr>
        <w:pStyle w:val="ListParagraph"/>
        <w:numPr>
          <w:ilvl w:val="0"/>
          <w:numId w:val="1"/>
        </w:numPr>
      </w:pPr>
      <w:r>
        <w:t xml:space="preserve">Per-module kickoff: walk the step-01 brief + parity checklist together before building.</w:t>
      </w:r>
    </w:p>
    <w:p>
      <w:pPr>
        <w:pStyle w:val="ListParagraph"/>
        <w:numPr>
          <w:ilvl w:val="0"/>
          <w:numId w:val="1"/>
        </w:numPr>
      </w:pPr>
      <w:r>
        <w:t xml:space="preserve">Demo each migrated module against the legacy screen at iteration end.</w:t>
      </w:r>
    </w:p>
    <w:p>
      <w:pPr>
        <w:pStyle w:val="ListParagraph"/>
        <w:numPr>
          <w:ilvl w:val="0"/>
          <w:numId w:val="1"/>
        </w:numPr>
      </w:pPr>
      <w:r>
        <w:t xml:space="preserve">Track migration coverage (routes on React vs JSP) as the primary progress metric toward cutover.</w:t>
      </w:r>
    </w:p>
    <w:p>
      <w:pPr>
        <w:pStyle w:val="Heading1"/>
      </w:pPr>
      <w:r>
        <w:t xml:space="preserve">Companion documents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84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1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before="120" w:after="240"/>
    </w:pPr>
    <w:rPr>
      <w:b/>
      <w:color w:val="0E1524"/>
      <w:sz w:val="52"/>
    </w:rPr>
  </w:style>
  <w:style w:type="paragraph" w:styleId="Heading1">
    <w:name w:val="heading 1"/>
    <w:basedOn w:val="Normal"/>
    <w:pPr>
      <w:spacing w:before="280" w:after="120"/>
      <w:outlineLvl w:val="0"/>
    </w:pPr>
    <w:rPr>
      <w:b/>
      <w:color w:val="14181F"/>
      <w:sz w:val="34"/>
    </w:rPr>
  </w:style>
  <w:style w:type="paragraph" w:styleId="Heading2">
    <w:name w:val="heading 2"/>
    <w:basedOn w:val="Normal"/>
    <w:pPr>
      <w:spacing w:before="200" w:after="80"/>
      <w:outlineLvl w:val="1"/>
    </w:pPr>
    <w:rPr>
      <w:b/>
      <w:color w:val="B5531A"/>
      <w:sz w:val="24"/>
    </w:rPr>
  </w:style>
  <w:style w:type="paragraph" w:styleId="ListParagraph">
    <w:name w:val="List Paragraph"/>
    <w:basedOn w:val="Normal"/>
  </w:style>
  <w:style w:type="paragraph" w:styleId="Code">
    <w:name w:val="Code"/>
    <w:basedOn w:val="Normal"/>
    <w:pPr>
      <w:spacing w:after="0" w:line="240" w:lineRule="auto"/>
      <w:shd w:val="clear" w:fill="0F1524"/>
      <w:ind w:left="120" w:right="120"/>
    </w:pPr>
    <w:rPr>
      <w:rFonts w:ascii="Consolas" w:hAnsi="Consolas"/>
      <w:color w:val="D6DEF5"/>
      <w:sz w:val="18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