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JSP → React migration — per-module playbook</w:t>
      </w:r>
    </w:p>
    <w:p>
      <w:r>
        <w:t xml:space="preserve">A repeatable, start-to-finish process for migrating one Struts/JSP module to React using Cursor IDE. Assumes the new project setup is complete. Run the same 12 steps for every module; the rules at the end are non-negotiable.</w:t>
      </w:r>
    </w:p>
    <w:p>
      <w:pPr>
        <w:pStyle w:val="Heading1"/>
      </w:pPr>
      <w:r>
        <w:t xml:space="preserve">Principles</w:t>
      </w:r>
    </w:p>
    <w:p>
      <w:pPr>
        <w:pStyle w:val="ListParagraph"/>
        <w:numPr>
          <w:ilvl w:val="0"/>
          <w:numId w:val="1"/>
        </w:numPr>
      </w:pPr>
      <w:r>
        <w:t xml:space="preserve">Strangler-fig, one module at a time. The legacy Struts app keeps running; each migrated route is switched to the SPA when it reaches parity. Never migrate two modules in one branch.</w:t>
      </w:r>
    </w:p>
    <w:p>
      <w:pPr>
        <w:pStyle w:val="ListParagraph"/>
        <w:numPr>
          <w:ilvl w:val="0"/>
          <w:numId w:val="1"/>
        </w:numPr>
      </w:pPr>
      <w:r>
        <w:t xml:space="preserve">Reuse the backend. Do not rewrite business logic — expose the existing EJB behind a REST endpoint and consume it. The JSP is a reference for behaviour, not a spec to reinvent.</w:t>
      </w:r>
    </w:p>
    <w:p>
      <w:pPr>
        <w:pStyle w:val="ListParagraph"/>
        <w:numPr>
          <w:ilvl w:val="0"/>
          <w:numId w:val="1"/>
        </w:numPr>
      </w:pPr>
      <w:r>
        <w:t xml:space="preserve">Parity first, improvements second. Ship an exact functional match, then propose enhancements separately.</w:t>
      </w:r>
    </w:p>
    <w:p>
      <w:pPr>
        <w:pStyle w:val="ListParagraph"/>
        <w:numPr>
          <w:ilvl w:val="0"/>
          <w:numId w:val="1"/>
        </w:numPr>
      </w:pPr>
      <w:r>
        <w:t xml:space="preserve">Dependency order. Migrate read-mostly modules first (Schedules, Tracking), then transactional (Booking → SI → BL/VGM → Payments), then admin/config.</w:t>
      </w:r>
    </w:p>
    <w:p>
      <w:pPr>
        <w:pStyle w:val="ListParagraph"/>
        <w:numPr>
          <w:ilvl w:val="0"/>
          <w:numId w:val="1"/>
        </w:numPr>
      </w:pPr>
      <w:r>
        <w:t xml:space="preserve">Definition of done is fixed (see end) — a module isn't "migrated" until every box is ticked.</w:t>
      </w:r>
    </w:p>
    <w:p>
      <w:pPr>
        <w:pStyle w:val="Heading1"/>
      </w:pPr>
      <w:r>
        <w:t xml:space="preserve">Cursor IDE workflow</w:t>
      </w:r>
    </w:p>
    <w:p>
      <w:r>
        <w:t xml:space="preserve">Set Cursor up once so every module migration is consistent and the AI has the right context.</w:t>
      </w:r>
    </w:p>
    <w:p>
      <w:pPr>
        <w:pStyle w:val="ListParagraph"/>
        <w:numPr>
          <w:ilvl w:val="0"/>
          <w:numId w:val="1"/>
        </w:numPr>
      </w:pPr>
      <w:r>
        <w:t xml:space="preserve">Add a .cursor/rules/ file encoding the project rules (stack, feature blueprint, naming, "no hardcoded styles", RHF+Zod, shared-ui only) — the rules section below is the source.</w:t>
      </w:r>
    </w:p>
    <w:p>
      <w:pPr>
        <w:pStyle w:val="ListParagraph"/>
        <w:numPr>
          <w:ilvl w:val="0"/>
          <w:numId w:val="1"/>
        </w:numPr>
      </w:pPr>
      <w:r>
        <w:t xml:space="preserve">Open both codebases in the workspace: the legacy e-comOnlineWeb_New (read-only reference) and the new React repo (target).</w:t>
      </w:r>
    </w:p>
    <w:p>
      <w:pPr>
        <w:pStyle w:val="ListParagraph"/>
        <w:numPr>
          <w:ilvl w:val="0"/>
          <w:numId w:val="1"/>
        </w:numPr>
      </w:pPr>
      <w:r>
        <w:t xml:space="preserve">Use @-mentions to give Cursor the exact JSP + Action + form bean + AJAX servlet for the module, plus one already-migrated module as the pattern to copy.</w:t>
      </w:r>
    </w:p>
    <w:p>
      <w:pPr>
        <w:pStyle w:val="ListParagraph"/>
        <w:numPr>
          <w:ilvl w:val="0"/>
          <w:numId w:val="1"/>
        </w:numPr>
      </w:pPr>
      <w:r>
        <w:t xml:space="preserve">Work in small, reviewable prompts: analyse → scaffold → one component/hook at a time → wire API → validate. Don't ask it to migrate a whole module in one shot.</w:t>
      </w:r>
    </w:p>
    <w:p>
      <w:pPr>
        <w:pStyle w:val="ListParagraph"/>
        <w:numPr>
          <w:ilvl w:val="0"/>
          <w:numId w:val="1"/>
        </w:numPr>
      </w:pPr>
      <w:r>
        <w:t xml:space="preserve">Keep the migrated reference module pinned as the canonical example so Cursor mirrors its structure every time.</w:t>
      </w:r>
    </w:p>
    <w:p>
      <w:r>
        <w:t xml:space="preserve">"Using @Schedules (migrated) as the pattern, scaffold the tracking feature slice. Reference the legacy @Tracking.jsp, @TrackingAction.java, @Tracking.java (ajax). Only scaffold folders + the list route + queryOptions; no UI yet. Follow .cursor/rules."</w:t>
      </w:r>
    </w:p>
    <w:p>
      <w:pPr>
        <w:pStyle w:val="Heading1"/>
      </w:pPr>
      <w:r>
        <w:t xml:space="preserve">Module &amp; codebase analysis</w:t>
      </w:r>
    </w:p>
    <w:p>
      <w:r>
        <w:t xml:space="preserve">Do — inventory everything the module touches before writing any code.</w:t>
      </w:r>
    </w:p>
    <w:p>
      <w:pPr>
        <w:pStyle w:val="ListParagraph"/>
        <w:numPr>
          <w:ilvl w:val="0"/>
          <w:numId w:val="1"/>
        </w:numPr>
      </w:pPr>
      <w:r>
        <w:t xml:space="preserve">List the JSP page(s), the Struts Action(s), the form bean, and any AJAX servlets for the module (e.g. Tracking → Tracking.jsp · TrackingAction · Tracking ajax).</w:t>
      </w:r>
    </w:p>
    <w:p>
      <w:pPr>
        <w:pStyle w:val="ListParagraph"/>
        <w:numPr>
          <w:ilvl w:val="0"/>
          <w:numId w:val="1"/>
        </w:numPr>
      </w:pPr>
      <w:r>
        <w:t xml:space="preserve">Map the routes (.do paths + forwards from struts-config.xml) and the module code used by MenuAccess.</w:t>
      </w:r>
    </w:p>
    <w:p>
      <w:pPr>
        <w:pStyle w:val="ListParagraph"/>
        <w:numPr>
          <w:ilvl w:val="0"/>
          <w:numId w:val="1"/>
        </w:numPr>
      </w:pPr>
      <w:r>
        <w:t xml:space="preserve">Note the user roles that can reach it and any feature flags (GlobalConfig) that alter behaviour.</w:t>
      </w:r>
    </w:p>
    <w:p>
      <w:pPr>
        <w:pStyle w:val="Heading1"/>
      </w:pPr>
      <w:r>
        <w:t xml:space="preserve">JSP &amp; backend dependency analysis</w:t>
      </w:r>
    </w:p>
    <w:p>
      <w:r>
        <w:t xml:space="preserve">Do — trace how the screen gets and saves data.</w:t>
      </w:r>
    </w:p>
    <w:p>
      <w:pPr>
        <w:pStyle w:val="ListParagraph"/>
        <w:numPr>
          <w:ilvl w:val="0"/>
          <w:numId w:val="1"/>
        </w:numPr>
      </w:pPr>
      <w:r>
        <w:t xml:space="preserve">Follow the Action → EJBLookUp → EJB method calls; record each bean method + its VO/DTO shape.</w:t>
      </w:r>
    </w:p>
    <w:p>
      <w:pPr>
        <w:pStyle w:val="ListParagraph"/>
        <w:numPr>
          <w:ilvl w:val="0"/>
          <w:numId w:val="1"/>
        </w:numPr>
      </w:pPr>
      <w:r>
        <w:t xml:space="preserve">Identify external calls (schedules, tracking, payment, carbon, mail) and cache reads (ServletContext/Infinispan).</w:t>
      </w:r>
    </w:p>
    <w:p>
      <w:pPr>
        <w:pStyle w:val="ListParagraph"/>
        <w:numPr>
          <w:ilvl w:val="0"/>
          <w:numId w:val="1"/>
        </w:numPr>
      </w:pPr>
      <w:r>
        <w:t xml:space="preserve">Flag scriptlet logic embedded in the JSP — that hidden business logic must move to the REST layer, not the React component.</w:t>
      </w:r>
    </w:p>
    <w:p>
      <w:pPr>
        <w:pStyle w:val="Heading1"/>
      </w:pPr>
      <w:r>
        <w:t xml:space="preserve">UI / UX analysis</w:t>
      </w:r>
    </w:p>
    <w:p>
      <w:r>
        <w:t xml:space="preserve">Do — capture the screen's structure and every interaction.</w:t>
      </w:r>
    </w:p>
    <w:p>
      <w:pPr>
        <w:pStyle w:val="ListParagraph"/>
        <w:numPr>
          <w:ilvl w:val="0"/>
          <w:numId w:val="1"/>
        </w:numPr>
      </w:pPr>
      <w:r>
        <w:t xml:space="preserve">Screenshot each state (empty, loading, populated, error, edit). List fields, columns, buttons, modals, tabs.</w:t>
      </w:r>
    </w:p>
    <w:p>
      <w:pPr>
        <w:pStyle w:val="ListParagraph"/>
        <w:numPr>
          <w:ilvl w:val="0"/>
          <w:numId w:val="1"/>
        </w:numPr>
      </w:pPr>
      <w:r>
        <w:t xml:space="preserve">Map each legacy widget to its Ant Design equivalent (see analysis §19 mapping table).</w:t>
      </w:r>
    </w:p>
    <w:p>
      <w:pPr>
        <w:pStyle w:val="ListParagraph"/>
        <w:numPr>
          <w:ilvl w:val="0"/>
          <w:numId w:val="1"/>
        </w:numPr>
      </w:pPr>
      <w:r>
        <w:t xml:space="preserve">Record conditional UI (show/hide by role, shipment type E/I, field-config) and the wizard step order if any.</w:t>
      </w:r>
    </w:p>
    <w:p>
      <w:pPr>
        <w:pStyle w:val="Heading1"/>
      </w:pPr>
      <w:r>
        <w:t xml:space="preserve">API &amp; business-logic identification</w:t>
      </w:r>
    </w:p>
    <w:p>
      <w:r>
        <w:t xml:space="preserve">Do — define the REST contract for the module before building UI.</w:t>
      </w:r>
    </w:p>
    <w:p>
      <w:pPr>
        <w:pStyle w:val="ListParagraph"/>
        <w:numPr>
          <w:ilvl w:val="0"/>
          <w:numId w:val="1"/>
        </w:numPr>
      </w:pPr>
      <w:r>
        <w:t xml:space="preserve">For each EJB method the module needs, add a REST endpoint on the facade with the standard envelope; document it in OpenAPI.</w:t>
      </w:r>
    </w:p>
    <w:p>
      <w:pPr>
        <w:pStyle w:val="ListParagraph"/>
        <w:numPr>
          <w:ilvl w:val="0"/>
          <w:numId w:val="1"/>
        </w:numPr>
      </w:pPr>
      <w:r>
        <w:t xml:space="preserve">Decide what is a query vs a mutation; keep business rules server-side.</w:t>
      </w:r>
    </w:p>
    <w:p>
      <w:pPr>
        <w:pStyle w:val="ListParagraph"/>
        <w:numPr>
          <w:ilvl w:val="0"/>
          <w:numId w:val="1"/>
        </w:numPr>
      </w:pPr>
      <w:r>
        <w:t xml:space="preserve">Regenerate FE types from the spec (openapi-typescript) so the module is typed end to end.</w:t>
      </w:r>
    </w:p>
    <w:p>
      <w:pPr>
        <w:pStyle w:val="Heading1"/>
      </w:pPr>
      <w:r>
        <w:t xml:space="preserve">React component design</w:t>
      </w:r>
    </w:p>
    <w:p>
      <w:r>
        <w:t xml:space="preserve">Do — scaffold the feature slice using the standard blueprint.</w:t>
      </w:r>
    </w:p>
    <w:p>
      <w:pPr>
        <w:pStyle w:val="Code"/>
      </w:pPr>
      <w:r>
        <w:t xml:space="preserve">features/&lt;module&gt;/</w:t>
      </w:r>
    </w:p>
    <w:p>
      <w:pPr>
        <w:pStyle w:val="Code"/>
      </w:pPr>
      <w:r>
        <w:t xml:space="preserve">├── &lt;module&gt;-list.tsx / -details-view.tsx   # thin route entries</w:t>
      </w:r>
    </w:p>
    <w:p>
      <w:pPr>
        <w:pStyle w:val="Code"/>
      </w:pPr>
      <w:r>
        <w:t xml:space="preserve">├── api/ .api.ts · .keys.ts · .queries.ts</w:t>
      </w:r>
    </w:p>
    <w:p>
      <w:pPr>
        <w:pStyle w:val="Code"/>
      </w:pPr>
      <w:r>
        <w:t xml:space="preserve">├── hooks/  use-&lt;module&gt;-controller.ts</w:t>
      </w:r>
    </w:p>
    <w:p>
      <w:pPr>
        <w:pStyle w:val="Code"/>
      </w:pPr>
      <w:r>
        <w:t xml:space="preserve">├── types/  (generated)  ·  utils/</w:t>
      </w:r>
    </w:p>
    <w:p>
      <w:pPr>
        <w:pStyle w:val="Code"/>
      </w:pPr>
      <w:r>
        <w:t xml:space="preserve">└── components/  list/  details/  upsert/</w:t>
      </w:r>
    </w:p>
    <w:p>
      <w:r>
        <w:t xml:space="preserve">Compose from shared-ui only; keep route files thin; put logic in the controller hook.</w:t>
      </w:r>
    </w:p>
    <w:p>
      <w:pPr>
        <w:pStyle w:val="Heading1"/>
      </w:pPr>
      <w:r>
        <w:t xml:space="preserve">State &amp; form management</w:t>
      </w:r>
    </w:p>
    <w:p>
      <w:pPr>
        <w:pStyle w:val="ListParagraph"/>
        <w:numPr>
          <w:ilvl w:val="0"/>
          <w:numId w:val="1"/>
        </w:numPr>
      </w:pPr>
      <w:r>
        <w:t xml:space="preserve">Server data → React Query (queryOptions + staleTime). Client/UI state → Zustand. List filters/sort → URL search params.</w:t>
      </w:r>
    </w:p>
    <w:p>
      <w:pPr>
        <w:pStyle w:val="ListParagraph"/>
        <w:numPr>
          <w:ilvl w:val="0"/>
          <w:numId w:val="1"/>
        </w:numPr>
      </w:pPr>
      <w:r>
        <w:t xml:space="preserve">Forms → React Hook Form + a Zod schema derived from the legacy validation rules (§18A field-config where applicable).</w:t>
      </w:r>
    </w:p>
    <w:p>
      <w:pPr>
        <w:pStyle w:val="ListParagraph"/>
        <w:numPr>
          <w:ilvl w:val="0"/>
          <w:numId w:val="1"/>
        </w:numPr>
      </w:pPr>
      <w:r>
        <w:t xml:space="preserve">Wizards → Steps + per-step schema; persist draft in the query cache, not component state.</w:t>
      </w:r>
    </w:p>
    <w:p>
      <w:pPr>
        <w:pStyle w:val="Heading1"/>
      </w:pPr>
      <w:r>
        <w:t xml:space="preserve">API integration</w:t>
      </w:r>
    </w:p>
    <w:p>
      <w:pPr>
        <w:pStyle w:val="ListParagraph"/>
        <w:numPr>
          <w:ilvl w:val="0"/>
          <w:numId w:val="1"/>
        </w:numPr>
      </w:pPr>
      <w:r>
        <w:t xml:space="preserve">Call the module's REST endpoints through the shared api client; never build URLs inline in components.</w:t>
      </w:r>
    </w:p>
    <w:p>
      <w:pPr>
        <w:pStyle w:val="ListParagraph"/>
        <w:numPr>
          <w:ilvl w:val="0"/>
          <w:numId w:val="1"/>
        </w:numPr>
      </w:pPr>
      <w:r>
        <w:t xml:space="preserve">Wire queries/mutations via the feature's .queries.ts/.keys.ts; invalidate list/detail/summary after mutations.</w:t>
      </w:r>
    </w:p>
    <w:p>
      <w:pPr>
        <w:pStyle w:val="ListParagraph"/>
        <w:numPr>
          <w:ilvl w:val="0"/>
          <w:numId w:val="1"/>
        </w:numPr>
      </w:pPr>
      <w:r>
        <w:t xml:space="preserve">Develop against MSW mocks first, then switch to the real endpoint; keep both working.</w:t>
      </w:r>
    </w:p>
    <w:p>
      <w:pPr>
        <w:pStyle w:val="Heading1"/>
      </w:pPr>
      <w:r>
        <w:t xml:space="preserve">Validation &amp; error handling</w:t>
      </w:r>
    </w:p>
    <w:p>
      <w:pPr>
        <w:pStyle w:val="ListParagraph"/>
        <w:numPr>
          <w:ilvl w:val="0"/>
          <w:numId w:val="1"/>
        </w:numPr>
      </w:pPr>
      <w:r>
        <w:t xml:space="preserve">Port every Commons Validator + jQuery rule into the Zod schema — match required fields, formats, and cross-field rules exactly.</w:t>
      </w:r>
    </w:p>
    <w:p>
      <w:pPr>
        <w:pStyle w:val="ListParagraph"/>
        <w:numPr>
          <w:ilvl w:val="0"/>
          <w:numId w:val="1"/>
        </w:numPr>
      </w:pPr>
      <w:r>
        <w:t xml:space="preserve">Surface server errors from the envelope via extractApiError; show inline field errors + a toast for failures.</w:t>
      </w:r>
    </w:p>
    <w:p>
      <w:pPr>
        <w:pStyle w:val="ListParagraph"/>
        <w:numPr>
          <w:ilvl w:val="0"/>
          <w:numId w:val="1"/>
        </w:numPr>
      </w:pPr>
      <w:r>
        <w:t xml:space="preserve">Wrap the route in an error boundary; handle empty/loading with Skeleton, not blank screens.</w:t>
      </w:r>
    </w:p>
    <w:p>
      <w:pPr>
        <w:pStyle w:val="Heading1"/>
      </w:pPr>
      <w:r>
        <w:t xml:space="preserve">Functional parity</w:t>
      </w:r>
    </w:p>
    <w:p>
      <w:r>
        <w:t xml:space="preserve">Do — verify the React module behaves identically to the JSP one.</w:t>
      </w:r>
    </w:p>
    <w:p>
      <w:pPr>
        <w:pStyle w:val="ListParagraph"/>
        <w:numPr>
          <w:ilvl w:val="0"/>
          <w:numId w:val="1"/>
        </w:numPr>
      </w:pPr>
      <w:r>
        <w:t xml:space="preserve">Build a parity checklist from the step-01 brief: every field, action, permission, edge case, and message.</w:t>
      </w:r>
    </w:p>
    <w:p>
      <w:pPr>
        <w:pStyle w:val="ListParagraph"/>
        <w:numPr>
          <w:ilvl w:val="0"/>
          <w:numId w:val="1"/>
        </w:numPr>
      </w:pPr>
      <w:r>
        <w:t xml:space="preserve">Run the same scenario in both apps side by side; diff inputs → outputs (including generated PDFs/Excel).</w:t>
      </w:r>
    </w:p>
    <w:p>
      <w:pPr>
        <w:pStyle w:val="ListParagraph"/>
        <w:numPr>
          <w:ilvl w:val="0"/>
          <w:numId w:val="1"/>
        </w:numPr>
      </w:pPr>
      <w:r>
        <w:t xml:space="preserve">Confirm role gating and feature-flag behaviour match the legacy MenuAccess rules.</w:t>
      </w:r>
    </w:p>
    <w:p>
      <w:pPr>
        <w:pStyle w:val="Heading1"/>
      </w:pPr>
      <w:r>
        <w:t xml:space="preserve">Testing &amp; comparison</w:t>
      </w:r>
    </w:p>
    <w:p>
      <w:pPr>
        <w:pStyle w:val="ListParagraph"/>
        <w:numPr>
          <w:ilvl w:val="0"/>
          <w:numId w:val="1"/>
        </w:numPr>
      </w:pPr>
      <w:r>
        <w:t xml:space="preserve">Unit: Vitest + RTL for the controller hook and key components; MSW for integration.</w:t>
      </w:r>
    </w:p>
    <w:p>
      <w:pPr>
        <w:pStyle w:val="ListParagraph"/>
        <w:numPr>
          <w:ilvl w:val="0"/>
          <w:numId w:val="1"/>
        </w:numPr>
      </w:pPr>
      <w:r>
        <w:t xml:space="preserve">E2E: Playwright for the module's critical flow (e.g. create booking, submit SI).</w:t>
      </w:r>
    </w:p>
    <w:p>
      <w:pPr>
        <w:pStyle w:val="ListParagraph"/>
        <w:numPr>
          <w:ilvl w:val="0"/>
          <w:numId w:val="1"/>
        </w:numPr>
      </w:pPr>
      <w:r>
        <w:t xml:space="preserve">Compare against the legacy module with the same data; log any behavioural difference as a defect, not a "new design".</w:t>
      </w:r>
    </w:p>
    <w:p>
      <w:pPr>
        <w:pStyle w:val="Heading1"/>
      </w:pPr>
      <w:r>
        <w:t xml:space="preserve">Code review &amp; quality checks</w:t>
      </w:r>
    </w:p>
    <w:p>
      <w:pPr>
        <w:pStyle w:val="ListParagraph"/>
        <w:numPr>
          <w:ilvl w:val="0"/>
          <w:numId w:val="1"/>
        </w:numPr>
      </w:pPr>
      <w:r>
        <w:t xml:space="preserve">Run lint + typecheck + format; resolve every warning before review.</w:t>
      </w:r>
    </w:p>
    <w:p>
      <w:pPr>
        <w:pStyle w:val="ListParagraph"/>
        <w:numPr>
          <w:ilvl w:val="0"/>
          <w:numId w:val="1"/>
        </w:numPr>
      </w:pPr>
      <w:r>
        <w:t xml:space="preserve">PR follows Conventional Commits; one module per PR; link the parity checklist.</w:t>
      </w:r>
    </w:p>
    <w:p>
      <w:pPr>
        <w:pStyle w:val="ListParagraph"/>
        <w:numPr>
          <w:ilvl w:val="0"/>
          <w:numId w:val="1"/>
        </w:numPr>
      </w:pPr>
      <w:r>
        <w:t xml:space="preserve">Reviewer confirms: blueprint structure, shared-ui usage, no hardcoded styles, no any, no leftover legacy calls, bundle within budget.</w:t>
      </w:r>
    </w:p>
    <w:p>
      <w:pPr>
        <w:pStyle w:val="Heading1"/>
      </w:pPr>
      <w:r>
        <w:t xml:space="preserve">Deployment &amp; rollback</w:t>
      </w:r>
    </w:p>
    <w:p>
      <w:pPr>
        <w:pStyle w:val="ListParagraph"/>
        <w:numPr>
          <w:ilvl w:val="0"/>
          <w:numId w:val="1"/>
        </w:numPr>
      </w:pPr>
      <w:r>
        <w:t xml:space="preserve">Ship behind a feature flag / route switch: the module's routes point to the SPA only when enabled.</w:t>
      </w:r>
    </w:p>
    <w:p>
      <w:pPr>
        <w:pStyle w:val="ListParagraph"/>
        <w:numPr>
          <w:ilvl w:val="0"/>
          <w:numId w:val="1"/>
        </w:numPr>
      </w:pPr>
      <w:r>
        <w:t xml:space="preserve">Release to staging → smoke test → production; monitor errors and key metrics for the module.</w:t>
      </w:r>
    </w:p>
    <w:p>
      <w:pPr>
        <w:pStyle w:val="ListParagraph"/>
        <w:numPr>
          <w:ilvl w:val="0"/>
          <w:numId w:val="1"/>
        </w:numPr>
      </w:pPr>
      <w:r>
        <w:t xml:space="preserve">Rollback = flip the route switch back to the legacy JSP (kept live until the module is proven). No redeploy needed.</w:t>
      </w:r>
    </w:p>
    <w:p>
      <w:pPr>
        <w:pStyle w:val="ListParagraph"/>
        <w:numPr>
          <w:ilvl w:val="0"/>
          <w:numId w:val="1"/>
        </w:numPr>
      </w:pPr>
      <w:r>
        <w:t xml:space="preserve">Decommission the legacy JSP/Action only after a stable soak period with no regressions.</w:t>
      </w:r>
    </w:p>
    <w:p>
      <w:pPr>
        <w:pStyle w:val="Heading1"/>
      </w:pPr>
      <w:r>
        <w:t xml:space="preserve">★ Rules &amp; best practices (every module)</w:t>
      </w:r>
    </w:p>
    <w:p>
      <w:pPr>
        <w:pStyle w:val="Heading1"/>
      </w:pPr>
      <w:r>
        <w:t xml:space="preserve">✓ Definition of done (per module)</w:t>
      </w:r>
    </w:p>
    <w:p>
      <w:r>
        <w:t xml:space="preserve">Recommended module order: Schedules → Tracking → Rates/Tariff → Booking → SI → BL/VGM → Payments → Statements → Admin/Config. Companion files: E-Com UI Architecture Analysis, Project Setup Guide, Architecture Diagram.</w:t>
      </w:r>
    </w:p>
    <w:sectPr>
      <w:pgSz w:w="11906" w:h="16838"/>
      <w:pgMar w:top="1134" w:right="1134" w:bottom="1134" w:left="1134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54" w:hanging="284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">
    <w:name w:val="Title"/>
    <w:pPr>
      <w:spacing w:before="120" w:after="240"/>
    </w:pPr>
    <w:rPr>
      <w:b/>
      <w:color w:val="0E1524"/>
      <w:sz w:val="52"/>
    </w:rPr>
  </w:style>
  <w:style w:type="paragraph" w:styleId="Heading1">
    <w:name w:val="heading 1"/>
    <w:basedOn w:val="Normal"/>
    <w:pPr>
      <w:spacing w:before="280" w:after="120"/>
      <w:outlineLvl w:val="0"/>
    </w:pPr>
    <w:rPr>
      <w:b/>
      <w:color w:val="14181F"/>
      <w:sz w:val="34"/>
    </w:rPr>
  </w:style>
  <w:style w:type="paragraph" w:styleId="Heading2">
    <w:name w:val="heading 2"/>
    <w:basedOn w:val="Normal"/>
    <w:pPr>
      <w:spacing w:before="200" w:after="80"/>
      <w:outlineLvl w:val="1"/>
    </w:pPr>
    <w:rPr>
      <w:b/>
      <w:color w:val="B5531A"/>
      <w:sz w:val="24"/>
    </w:rPr>
  </w:style>
  <w:style w:type="paragraph" w:styleId="ListParagraph">
    <w:name w:val="List Paragraph"/>
    <w:basedOn w:val="Normal"/>
  </w:style>
  <w:style w:type="paragraph" w:styleId="Code">
    <w:name w:val="Code"/>
    <w:basedOn w:val="Normal"/>
    <w:pPr>
      <w:spacing w:after="0" w:line="240" w:lineRule="auto"/>
      <w:shd w:val="clear" w:fill="0F1524"/>
      <w:ind w:left="120" w:right="120"/>
    </w:pPr>
    <w:rPr>
      <w:rFonts w:ascii="Consolas" w:hAnsi="Consolas"/>
      <w:color w:val="D6DEF5"/>
      <w:sz w:val="18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