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New E-Com project — step-by-step setup</w:t>
      </w:r>
    </w:p>
    <w:p>
      <w:r>
        <w:t xml:space="preserve">A practical, ordered guide to standing up the new React project on the same platform as the CRM portal — workspace, shared libs, theme, config, API, auth, routing, and the first feature module. Follow the steps top to bottom; each lists its goal, commands, and the definition of done.</w:t>
      </w:r>
    </w:p>
    <w:p>
      <w:r>
        <w:t xml:space="preserve">React 19 + TypeScript · Ant Design 6 · TanStack Router + Query · Zustand · React Hook Form + Zod · Nx + pnpm + Vite · Vitest + Playwright + Storybook + MSW. Node 24 LTS, pnpm 10.</w:t>
      </w:r>
    </w:p>
    <w:p>
      <w:r>
        <w:t xml:space="preserve">This guide adds step 13 · Use the @solverminds/shared-ui library covering how to consume the shared component library in the ecom app.</w:t>
      </w:r>
    </w:p>
    <w:p>
      <w:pPr>
        <w:pStyle w:val="Heading1"/>
      </w:pPr>
      <w:r>
        <w:t xml:space="preserve">Prerequisites</w:t>
      </w:r>
    </w:p>
    <w:p>
      <w:r>
        <w:t xml:space="preserve">Goal — a machine that can build the workspace reproducibly.</w:t>
      </w:r>
    </w:p>
    <w:p>
      <w:pPr>
        <w:pStyle w:val="ListParagraph"/>
        <w:numPr>
          <w:ilvl w:val="0"/>
          <w:numId w:val="1"/>
        </w:numPr>
      </w:pPr>
      <w:r>
        <w:t xml:space="preserve">Node 24 LTS via a version manager (nvm); pin it in .nvmrc.</w:t>
      </w:r>
    </w:p>
    <w:p>
      <w:pPr>
        <w:pStyle w:val="ListParagraph"/>
        <w:numPr>
          <w:ilvl w:val="0"/>
          <w:numId w:val="1"/>
        </w:numPr>
      </w:pPr>
      <w:r>
        <w:t xml:space="preserve">pnpm 10+ (Corepack: corepack enable).</w:t>
      </w:r>
    </w:p>
    <w:p>
      <w:pPr>
        <w:pStyle w:val="ListParagraph"/>
        <w:numPr>
          <w:ilvl w:val="0"/>
          <w:numId w:val="1"/>
        </w:numPr>
      </w:pPr>
      <w:r>
        <w:t xml:space="preserve">Git + access to the private artifact repository (for the backend JARs — never local filesystem paths).</w:t>
      </w:r>
    </w:p>
    <w:p>
      <w:pPr>
        <w:pStyle w:val="ListParagraph"/>
        <w:numPr>
          <w:ilvl w:val="0"/>
          <w:numId w:val="1"/>
        </w:numPr>
      </w:pPr>
      <w:r>
        <w:t xml:space="preserve">Access to the backend OpenAPI spec URL (for type generation) and the CRM shared-ui / theme libs.</w:t>
      </w:r>
    </w:p>
    <w:p>
      <w:pPr>
        <w:pStyle w:val="Heading1"/>
      </w:pPr>
      <w:r>
        <w:t xml:space="preserve">Create the workspace</w:t>
      </w:r>
    </w:p>
    <w:p>
      <w:r>
        <w:t xml:space="preserve">Goal — an empty Nx + pnpm monorepo. Prefer adding to the existing CRM workspace so libs are shared; otherwise create a new one and import the libs.</w:t>
      </w:r>
    </w:p>
    <w:p>
      <w:pPr>
        <w:pStyle w:val="Code"/>
      </w:pPr>
      <w:r>
        <w:t xml:space="preserve">npx create-nx-workspace@latest solverminds --preset=apps --pm=pnpm</w:t>
      </w:r>
    </w:p>
    <w:p>
      <w:pPr>
        <w:pStyle w:val="Code"/>
      </w:pPr>
      <w:r>
        <w:t xml:space="preserve">cd solverminds</w:t>
      </w:r>
    </w:p>
    <w:p>
      <w:pPr>
        <w:pStyle w:val="Code"/>
      </w:pPr>
      <w:r>
        <w:t xml:space="preserve">node -v &gt; .nvmrc            # pin Node</w:t>
      </w:r>
    </w:p>
    <w:p>
      <w:pPr>
        <w:pStyle w:val="Code"/>
      </w:pPr>
      <w:r>
        <w:t xml:space="preserve">pnpm add -D nx @nx/react @nx/vite @nx/eslint @nx/vitest @nx/playwright @nx/storybook</w:t>
      </w:r>
    </w:p>
    <w:p>
      <w:pPr>
        <w:pStyle w:val="Heading1"/>
      </w:pPr>
      <w:r>
        <w:t xml:space="preserve">Apps &amp; shared libs</w:t>
      </w:r>
    </w:p>
    <w:p>
      <w:r>
        <w:t xml:space="preserve">Goal — the app plus the reusable platform libs. Reuse the CRM libs where they exist; scaffold only what's missing.</w:t>
      </w:r>
    </w:p>
    <w:p>
      <w:pPr>
        <w:pStyle w:val="Code"/>
      </w:pPr>
      <w:r>
        <w:t xml:space="preserve">pnpm nx g @nx/react:app apps/ecom-portal --bundler=vite --routing=false --style=none</w:t>
      </w:r>
    </w:p>
    <w:p>
      <w:pPr>
        <w:pStyle w:val="Code"/>
      </w:pPr>
      <w:r>
        <w:t xml:space="preserve">pnpm nx g @nx/react:lib  libs/platform     # api-client, query-client, env</w:t>
      </w:r>
    </w:p>
    <w:p>
      <w:pPr>
        <w:pStyle w:val="Code"/>
      </w:pPr>
      <w:r>
        <w:t xml:space="preserve">pnpm nx g @nx/react:lib  libs/auth         # store, interceptors, guards, RBAC</w:t>
      </w:r>
    </w:p>
    <w:p>
      <w:pPr>
        <w:pStyle w:val="Code"/>
      </w:pPr>
      <w:r>
        <w:t xml:space="preserve">pnpm nx g @nx/react:lib  libs/theme        # ConfigProvider, tokens</w:t>
      </w:r>
    </w:p>
    <w:p>
      <w:pPr>
        <w:pStyle w:val="Code"/>
      </w:pPr>
      <w:r>
        <w:t xml:space="preserve">pnpm nx g @nx/react:lib  libs/shared-ui    # AntD-wrapped components + Form* fields</w:t>
      </w:r>
    </w:p>
    <w:p>
      <w:pPr>
        <w:pStyle w:val="Code"/>
      </w:pPr>
      <w:r>
        <w:t xml:space="preserve">pnpm nx g @nx/react:lib  libs/shared-util  # dates, formatting, helpers</w:t>
      </w:r>
    </w:p>
    <w:p>
      <w:r>
        <w:t xml:space="preserve">Add Nx module-boundary tags in each project (scope:ecom, type:feature|ui|util) and enforce with the @nx/enforce-module-boundaries lint rule so features can't import each other.</w:t>
      </w:r>
    </w:p>
    <w:p>
      <w:pPr>
        <w:pStyle w:val="Heading1"/>
      </w:pPr>
      <w:r>
        <w:t xml:space="preserve">Tooling &amp; conventions</w:t>
      </w:r>
    </w:p>
    <w:p>
      <w:r>
        <w:t xml:space="preserve">Goal — the same guardrails as the CRM portal so both codebases feel identical.</w:t>
      </w:r>
    </w:p>
    <w:p>
      <w:pPr>
        <w:pStyle w:val="ListParagraph"/>
        <w:numPr>
          <w:ilvl w:val="0"/>
          <w:numId w:val="1"/>
        </w:numPr>
      </w:pPr>
      <w:r>
        <w:t xml:space="preserve">TypeScript strict (strict, noUncheckedIndexedAccess, verbatimModuleSyntax); no any.</w:t>
      </w:r>
    </w:p>
    <w:p>
      <w:pPr>
        <w:pStyle w:val="ListParagraph"/>
        <w:numPr>
          <w:ilvl w:val="0"/>
          <w:numId w:val="1"/>
        </w:numPr>
      </w:pPr>
      <w:r>
        <w:t xml:space="preserve">Type-aware ESLint + Prettier; enable the React Compiler babel plugin.</w:t>
      </w:r>
    </w:p>
    <w:p>
      <w:pPr>
        <w:pStyle w:val="ListParagraph"/>
        <w:numPr>
          <w:ilvl w:val="0"/>
          <w:numId w:val="1"/>
        </w:numPr>
      </w:pPr>
      <w:r>
        <w:t xml:space="preserve">Husky + commitlint (Conventional Commits); kebab-case file naming.</w:t>
      </w:r>
    </w:p>
    <w:p>
      <w:pPr>
        <w:pStyle w:val="ListParagraph"/>
        <w:numPr>
          <w:ilvl w:val="0"/>
          <w:numId w:val="1"/>
        </w:numPr>
      </w:pPr>
      <w:r>
        <w:t xml:space="preserve">Copy the CRM AGENTS.md/coding-rules doc so conventions are shared.</w:t>
      </w:r>
    </w:p>
    <w:p>
      <w:pPr>
        <w:pStyle w:val="Heading1"/>
      </w:pPr>
      <w:r>
        <w:t xml:space="preserve">Design system &amp; theme</w:t>
      </w:r>
    </w:p>
    <w:p>
      <w:r>
        <w:t xml:space="preserve">Goal — one AntD theme from tokens, wired at the root. Reuse the CRM token engine in libs/theme.</w:t>
      </w:r>
    </w:p>
    <w:p>
      <w:pPr>
        <w:pStyle w:val="Code"/>
      </w:pPr>
      <w:r>
        <w:t xml:space="preserve">pnpm add antd @ant-design/cssinjs</w:t>
      </w:r>
    </w:p>
    <w:p>
      <w:pPr>
        <w:pStyle w:val="Code"/>
      </w:pPr>
      <w:r>
        <w:t xml:space="preserve">// libs/theme: buildAntdTheme(config) → ThemeConfig (tokens + light/dark algorithm)</w:t>
      </w:r>
    </w:p>
    <w:p>
      <w:pPr>
        <w:pStyle w:val="Code"/>
      </w:pPr>
      <w:r>
        <w:t xml:space="preserve">// apps/ecom-portal root:</w:t>
      </w:r>
    </w:p>
    <w:p>
      <w:pPr>
        <w:pStyle w:val="Code"/>
      </w:pPr>
      <w:r>
        <w:t xml:space="preserve">const appTheme = buildAntdTheme(appConfig)</w:t>
      </w:r>
    </w:p>
    <w:p>
      <w:pPr>
        <w:pStyle w:val="Code"/>
      </w:pPr>
      <w:r>
        <w:t xml:space="preserve">&lt;ConfigProvider theme={appTheme}&gt;&lt;App&gt;&lt;RouterProvider /&gt;&lt;/App&gt;&lt;/ConfigProvider&gt;</w:t>
      </w:r>
    </w:p>
    <w:p>
      <w:pPr>
        <w:pStyle w:val="Heading1"/>
      </w:pPr>
      <w:r>
        <w:t xml:space="preserve">Environment &amp; config</w:t>
      </w:r>
    </w:p>
    <w:p>
      <w:r>
        <w:t xml:space="preserve">Goal — typed, per-environment config; secrets stay server-side (the legacy mistake to avoid).</w:t>
      </w:r>
    </w:p>
    <w:p>
      <w:pPr>
        <w:pStyle w:val="Code"/>
      </w:pPr>
      <w:r>
        <w:t xml:space="preserve">// libs/platform/env.ts — validate at boot, fail fast</w:t>
      </w:r>
    </w:p>
    <w:p>
      <w:pPr>
        <w:pStyle w:val="Code"/>
      </w:pPr>
      <w:r>
        <w:t xml:space="preserve">const Env = z.object({ VITE_API_URL: z.string().url(), VITE_API_MODE: z.enum(['mock','real']) })</w:t>
      </w:r>
    </w:p>
    <w:p>
      <w:pPr>
        <w:pStyle w:val="Code"/>
      </w:pPr>
      <w:r>
        <w:t xml:space="preserve">export const env = Env.parse(import.meta.env)</w:t>
      </w:r>
    </w:p>
    <w:p>
      <w:pPr>
        <w:pStyle w:val="Code"/>
      </w:pPr>
      <w:r>
        <w:t xml:space="preserve">// .env.development / .env.production — only PUBLIC values; never DB creds or keys</w:t>
      </w:r>
    </w:p>
    <w:p>
      <w:pPr>
        <w:pStyle w:val="Heading1"/>
      </w:pPr>
      <w:r>
        <w:t xml:space="preserve">API client &amp; types</w:t>
      </w:r>
    </w:p>
    <w:p>
      <w:r>
        <w:t xml:space="preserve">Goal — one axios client with the Stripe-style envelope and OpenAPI-generated types from the REST facade.</w:t>
      </w:r>
    </w:p>
    <w:p>
      <w:pPr>
        <w:pStyle w:val="Code"/>
      </w:pPr>
      <w:r>
        <w:t xml:space="preserve">pnpm add axios @tanstack/react-query</w:t>
      </w:r>
    </w:p>
    <w:p>
      <w:pPr>
        <w:pStyle w:val="Code"/>
      </w:pPr>
      <w:r>
        <w:t xml:space="preserve">pnpm add -D openapi-typescript</w:t>
      </w:r>
    </w:p>
    <w:p>
      <w:pPr>
        <w:pStyle w:val="Code"/>
      </w:pPr>
      <w:r>
        <w:t xml:space="preserve"># generate types from the backend spec into libs/platform/types/api-schema.d.ts</w:t>
      </w:r>
    </w:p>
    <w:p>
      <w:pPr>
        <w:pStyle w:val="Code"/>
      </w:pPr>
      <w:r>
        <w:t xml:space="preserve">openapi-typescript $VITE_API_URL/v3/api-docs -o libs/platform/types/api-schema.d.ts</w:t>
      </w:r>
    </w:p>
    <w:p>
      <w:pPr>
        <w:pStyle w:val="Code"/>
      </w:pPr>
      <w:r>
        <w:t xml:space="preserve">// libs/platform/api-client.ts — baseURL, auth header, 401→refresh interceptor, extractApiError()</w:t>
      </w:r>
    </w:p>
    <w:p>
      <w:pPr>
        <w:pStyle w:val="Heading1"/>
      </w:pPr>
      <w:r>
        <w:t xml:space="preserve">State &amp; data layer</w:t>
      </w:r>
    </w:p>
    <w:p>
      <w:r>
        <w:t xml:space="preserve">Goal — React Query for server state, Zustand for client state, MSW for mocks. Establish the per-feature key/query conventions.</w:t>
      </w:r>
    </w:p>
    <w:p>
      <w:pPr>
        <w:pStyle w:val="Code"/>
      </w:pPr>
      <w:r>
        <w:t xml:space="preserve">pnpm add zustand</w:t>
      </w:r>
    </w:p>
    <w:p>
      <w:pPr>
        <w:pStyle w:val="Code"/>
      </w:pPr>
      <w:r>
        <w:t xml:space="preserve">pnpm add -D msw</w:t>
      </w:r>
    </w:p>
    <w:p>
      <w:pPr>
        <w:pStyle w:val="Code"/>
      </w:pPr>
      <w:r>
        <w:t xml:space="preserve">// query-client.ts (singleton) + optional IndexedDB persistence</w:t>
      </w:r>
    </w:p>
    <w:p>
      <w:pPr>
        <w:pStyle w:val="Code"/>
      </w:pPr>
      <w:r>
        <w:t xml:space="preserve">// per feature: &lt;feature&gt;.keys.ts (key factory) · &lt;feature&gt;.queries.ts (queryOptions + staleTime)</w:t>
      </w:r>
    </w:p>
    <w:p>
      <w:pPr>
        <w:pStyle w:val="Code"/>
      </w:pPr>
      <w:r>
        <w:t xml:space="preserve">// mocks: MSW handlers run in dev, tests, and Storybook — one mock set</w:t>
      </w:r>
    </w:p>
    <w:p>
      <w:pPr>
        <w:pStyle w:val="Heading1"/>
      </w:pPr>
      <w:r>
        <w:t xml:space="preserve">Auth &amp; guards</w:t>
      </w:r>
    </w:p>
    <w:p>
      <w:r>
        <w:t xml:space="preserve">Goal — token auth + RBAC replacing the session/systemid model.</w:t>
      </w:r>
    </w:p>
    <w:p>
      <w:pPr>
        <w:pStyle w:val="ListParagraph"/>
        <w:numPr>
          <w:ilvl w:val="0"/>
          <w:numId w:val="1"/>
        </w:numPr>
      </w:pPr>
      <w:r>
        <w:t xml:space="preserve">Auth store (Zustand): user, in-memory access token, permission set (module codes from RegMenus).</w:t>
      </w:r>
    </w:p>
    <w:p>
      <w:pPr>
        <w:pStyle w:val="ListParagraph"/>
        <w:numPr>
          <w:ilvl w:val="0"/>
          <w:numId w:val="1"/>
        </w:numPr>
      </w:pPr>
      <w:r>
        <w:t xml:space="preserve">Axios interceptor: attach bearer, 401 → single-flight refresh (httpOnly cookie) → retry.</w:t>
      </w:r>
    </w:p>
    <w:p>
      <w:pPr>
        <w:pStyle w:val="ListParagraph"/>
        <w:numPr>
          <w:ilvl w:val="0"/>
          <w:numId w:val="1"/>
        </w:numPr>
      </w:pPr>
      <w:r>
        <w:t xml:space="preserve">Login / registration / forgot-password flows + reCAPTCHA v3.</w:t>
      </w:r>
    </w:p>
    <w:p>
      <w:pPr>
        <w:pStyle w:val="ListParagraph"/>
        <w:numPr>
          <w:ilvl w:val="0"/>
          <w:numId w:val="1"/>
        </w:numPr>
      </w:pPr>
      <w:r>
        <w:t xml:space="preserve">Capability hooks (can('BKG')) + route-gate authorization.</w:t>
      </w:r>
    </w:p>
    <w:p>
      <w:pPr>
        <w:pStyle w:val="Heading1"/>
      </w:pPr>
      <w:r>
        <w:t xml:space="preserve">Routing &amp; app shell</w:t>
      </w:r>
    </w:p>
    <w:p>
      <w:r>
        <w:t xml:space="preserve">Goal — file-based routing with two gate layers and the AntD Layout shell.</w:t>
      </w:r>
    </w:p>
    <w:p>
      <w:pPr>
        <w:pStyle w:val="Code"/>
      </w:pPr>
      <w:r>
        <w:t xml:space="preserve">pnpm add @tanstack/react-router</w:t>
      </w:r>
    </w:p>
    <w:p>
      <w:pPr>
        <w:pStyle w:val="Code"/>
      </w:pPr>
      <w:r>
        <w:t xml:space="preserve">pnpm add -D @tanstack/router-plugin   # add to vite.config, autoCodeSplitting: true</w:t>
      </w:r>
    </w:p>
    <w:p>
      <w:pPr>
        <w:pStyle w:val="Code"/>
      </w:pPr>
      <w:r>
        <w:t xml:space="preserve">// routes/__root.tsx  → session + app config</w:t>
      </w:r>
    </w:p>
    <w:p>
      <w:pPr>
        <w:pStyle w:val="Code"/>
      </w:pPr>
      <w:r>
        <w:t xml:space="preserve">// routes/_app.tsx    → auth gate + RBAC + Layout(Sider/Header/Content), server-driven Menu</w:t>
      </w:r>
    </w:p>
    <w:p>
      <w:pPr>
        <w:pStyle w:val="Heading1"/>
      </w:pPr>
      <w:r>
        <w:t xml:space="preserve">First feature module</w:t>
      </w:r>
    </w:p>
    <w:p>
      <w:r>
        <w:t xml:space="preserve">Goal — one vertical slice end-to-end as the reference. Start with a read-mostly module (Schedules or Tracking) to prove the stack before tackling Booking.</w:t>
      </w:r>
    </w:p>
    <w:p>
      <w:pPr>
        <w:pStyle w:val="Code"/>
      </w:pPr>
      <w:r>
        <w:t xml:space="preserve">features/schedules/</w:t>
      </w:r>
    </w:p>
    <w:p>
      <w:pPr>
        <w:pStyle w:val="Code"/>
      </w:pPr>
      <w:r>
        <w:t xml:space="preserve">├── schedules-list.tsx          # route entry (thin)</w:t>
      </w:r>
    </w:p>
    <w:p>
      <w:pPr>
        <w:pStyle w:val="Code"/>
      </w:pPr>
      <w:r>
        <w:t xml:space="preserve">├── api/  schedules.api.ts · .keys.ts · .queries.ts</w:t>
      </w:r>
    </w:p>
    <w:p>
      <w:pPr>
        <w:pStyle w:val="Code"/>
      </w:pPr>
      <w:r>
        <w:t xml:space="preserve">├── hooks/  use-schedules-controller.ts</w:t>
      </w:r>
    </w:p>
    <w:p>
      <w:pPr>
        <w:pStyle w:val="Code"/>
      </w:pPr>
      <w:r>
        <w:t xml:space="preserve">├── types/  (from generated schema)</w:t>
      </w:r>
    </w:p>
    <w:p>
      <w:pPr>
        <w:pStyle w:val="Code"/>
      </w:pPr>
      <w:r>
        <w:t xml:space="preserve">└── components/  list/  details/  upsert/</w:t>
      </w:r>
    </w:p>
    <w:p>
      <w:pPr>
        <w:pStyle w:val="Heading1"/>
      </w:pPr>
      <w:r>
        <w:t xml:space="preserve">Testing</w:t>
      </w:r>
    </w:p>
    <w:p>
      <w:r>
        <w:t xml:space="preserve">Goal — test scaffolding wired into CI from day one, not deferred.</w:t>
      </w:r>
    </w:p>
    <w:p>
      <w:pPr>
        <w:pStyle w:val="Code"/>
      </w:pPr>
      <w:r>
        <w:t xml:space="preserve">pnpm nx g @nx/playwright:configuration --project=ecom-portal-e2e</w:t>
      </w:r>
    </w:p>
    <w:p>
      <w:pPr>
        <w:pStyle w:val="Code"/>
      </w:pPr>
      <w:r>
        <w:t xml:space="preserve"># Vitest + RTL for hooks/components · MSW for integration · Playwright for e2e</w:t>
      </w:r>
    </w:p>
    <w:p>
      <w:pPr>
        <w:pStyle w:val="Code"/>
      </w:pPr>
      <w:r>
        <w:t xml:space="preserve">pnpm nx test ecom-portal      # unit</w:t>
      </w:r>
    </w:p>
    <w:p>
      <w:pPr>
        <w:pStyle w:val="Code"/>
      </w:pPr>
      <w:r>
        <w:t xml:space="preserve">pnpm nx e2e ecom-portal-e2e   # critical flows: schedules search, then booking</w:t>
      </w:r>
    </w:p>
    <w:p>
      <w:pPr>
        <w:pStyle w:val="Heading1"/>
      </w:pPr>
      <w:r>
        <w:t xml:space="preserve">Build &amp; deploy</w:t>
      </w:r>
    </w:p>
    <w:p>
      <w:r>
        <w:t xml:space="preserve">Goal — reproducible CI build, static SPA to CDN, containerized REST API.</w:t>
      </w:r>
    </w:p>
    <w:p>
      <w:pPr>
        <w:pStyle w:val="Code"/>
      </w:pPr>
      <w:r>
        <w:t xml:space="preserve">pnpm nx build ecom-portal        # → dist/ static assets</w:t>
      </w:r>
    </w:p>
    <w:p>
      <w:pPr>
        <w:pStyle w:val="Code"/>
      </w:pPr>
      <w:r>
        <w:t xml:space="preserve"># CI: pnpm nx affected -t lint test build  (bundle budget check)</w:t>
      </w:r>
    </w:p>
    <w:p>
      <w:pPr>
        <w:pStyle w:val="Code"/>
      </w:pPr>
      <w:r>
        <w:t xml:space="preserve"># deploy dist/ to CDN; REST facade as a container; per-env config injected at deploy</w:t>
      </w:r>
    </w:p>
    <w:p>
      <w:pPr>
        <w:pStyle w:val="Heading1"/>
      </w:pPr>
      <w:r>
        <w:t xml:space="preserve">Use the @solverminds/shared-ui library</w:t>
      </w:r>
    </w:p>
    <w:p>
      <w:r>
        <w:t xml:space="preserve">Goal — consume the existing CRM component library (AppButton, Form* fields, DataView, dialogs, hooks) in the ecom app instead of rebuilding them. The library ships sub-path entry points so heavy deps stay lazy.</w:t>
      </w:r>
    </w:p>
    <w:p>
      <w:pPr>
        <w:pStyle w:val="Heading2"/>
      </w:pPr>
      <w:r>
        <w:t xml:space="preserve">Option A — same monorepo (recommended)</w:t>
      </w:r>
    </w:p>
    <w:p>
      <w:r>
        <w:t xml:space="preserve">Drop libs/shared/ui into the workspace (it already exists as a project). Nx + the @solverminds/source export condition resolve it directly to src/ at dev time — no build step, instant HMR.</w:t>
      </w:r>
    </w:p>
    <w:p>
      <w:pPr>
        <w:pStyle w:val="Code"/>
      </w:pPr>
      <w:r>
        <w:t xml:space="preserve">// tsconfig.base.json — path mapping (Nx adds this automatically for workspace libs)</w:t>
      </w:r>
    </w:p>
    <w:p>
      <w:pPr>
        <w:pStyle w:val="Code"/>
      </w:pPr>
      <w:r>
        <w:t xml:space="preserve">"paths": { "@solverminds/shared-ui": ["libs/shared/ui/src/index.ts"] }</w:t>
      </w:r>
    </w:p>
    <w:p>
      <w:pPr>
        <w:pStyle w:val="Code"/>
      </w:pPr>
      <w:r>
        <w:t xml:space="preserve">// vite.config.mts — resolve the source condition so dev uses src/, not dist/</w:t>
      </w:r>
    </w:p>
    <w:p>
      <w:pPr>
        <w:pStyle w:val="Code"/>
      </w:pPr>
      <w:r>
        <w:t xml:space="preserve">resolve: { conditions: ['@solverminds/source'] }</w:t>
      </w:r>
    </w:p>
    <w:p>
      <w:pPr>
        <w:pStyle w:val="Heading2"/>
      </w:pPr>
      <w:r>
        <w:t xml:space="preserve">Option B — separate repo</w:t>
      </w:r>
    </w:p>
    <w:p>
      <w:r>
        <w:t xml:space="preserve">If the ecom app lives in its own repo, build the lib (nx build shared-ui → dist/) and publish to your private npm registry, then pnpm add @solverminds/shared-ui. Consumers use the compiled import/types conditions from the same export map. Best kept in one monorepo, though — Option A avoids version-lag.</w:t>
      </w:r>
    </w:p>
    <w:p>
      <w:pPr>
        <w:pStyle w:val="Heading2"/>
      </w:pPr>
      <w:r>
        <w:t xml:space="preserve">Import discipline — use the right entry point</w:t>
      </w:r>
    </w:p>
    <w:tbl>
      <w:tblPr>
        <w:tblStyle w:val="TableGrid"/>
        <w:tblW w:w="936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E4E7EC"/>
          <w:insideV w:val="single" w:sz="4" w:color="E4E7EC"/>
        </w:tblBorders>
      </w:tblPr>
      <w:tblGrid>
        <w:gridCol w:w="4680"/>
        <w:gridCol w:w="4680"/>
      </w:tblGrid>
      <w:tr>
        <w:tc>
          <w:tcPr>
            <w:tcW w:w="4680" w:type="dxa"/>
            <w:shd w:val="clear" w:fill="F0F2F5"/>
          </w:tcPr>
          <w:p>
            <w:r>
              <w:rPr>
                <w:b/>
              </w:rPr>
              <w:t xml:space="preserve">Import from</w:t>
            </w:r>
          </w:p>
        </w:tc>
        <w:tc>
          <w:tcPr>
            <w:tcW w:w="4680" w:type="dxa"/>
            <w:shd w:val="clear" w:fill="F0F2F5"/>
          </w:tcPr>
          <w:p>
            <w:r>
              <w:rPr>
                <w:b/>
              </w:rPr>
              <w:t xml:space="preserve">What's inside</w:t>
            </w:r>
          </w:p>
        </w:tc>
      </w:tr>
      <w:tr>
        <w:tc>
          <w:tcPr>
            <w:tcW w:w="4680" w:type="dxa"/>
          </w:tcPr>
          <w:p>
            <w:r>
              <w:t xml:space="preserve">@solverminds/shared-ui</w:t>
            </w:r>
          </w:p>
        </w:tc>
        <w:tc>
          <w:tcPr>
            <w:tcW w:w="4680" w:type="dxa"/>
          </w:tcPr>
          <w:p>
            <w:r>
              <w:t xml:space="preserve">Core UI + Form* fields (AppButton, AppModal, AppDrawer, AppTabs, useToast, useConfirm).</w:t>
            </w:r>
          </w:p>
        </w:tc>
      </w:tr>
      <w:tr>
        <w:tc>
          <w:tcPr>
            <w:tcW w:w="4680" w:type="dxa"/>
          </w:tcPr>
          <w:p>
            <w:r>
              <w:t xml:space="preserve">…/providers</w:t>
            </w:r>
          </w:p>
        </w:tc>
        <w:tc>
          <w:tcPr>
            <w:tcW w:w="4680" w:type="dxa"/>
          </w:tcPr>
          <w:p>
            <w:r>
              <w:t xml:space="preserve">AppConfigProvider, mergeAppConfig, default config.</w:t>
            </w:r>
          </w:p>
        </w:tc>
      </w:tr>
      <w:tr>
        <w:tc>
          <w:tcPr>
            <w:tcW w:w="4680" w:type="dxa"/>
          </w:tcPr>
          <w:p>
            <w:r>
              <w:t xml:space="preserve">…/hooks · …/utils · …/schemas</w:t>
            </w:r>
          </w:p>
        </w:tc>
        <w:tc>
          <w:tcPr>
            <w:tcW w:w="4680" w:type="dxa"/>
          </w:tcPr>
          <w:p>
            <w:r>
              <w:t xml:space="preserve">Reusable hooks, utilities, and Zod schemas.</w:t>
            </w:r>
          </w:p>
        </w:tc>
      </w:tr>
      <w:tr>
        <w:tc>
          <w:tcPr>
            <w:tcW w:w="4680" w:type="dxa"/>
          </w:tcPr>
          <w:p>
            <w:r>
              <w:t xml:space="preserve">…/data-view (+ /list-view, /kanban-view, /card-view)</w:t>
            </w:r>
          </w:p>
        </w:tc>
        <w:tc>
          <w:tcPr>
            <w:tcW w:w="4680" w:type="dxa"/>
          </w:tcPr>
          <w:p>
            <w:r>
              <w:t xml:space="preserve">DataView orchestrator + AG Grid views (heavy — separate chunk).</w:t>
            </w:r>
          </w:p>
        </w:tc>
      </w:tr>
      <w:tr>
        <w:tc>
          <w:tcPr>
            <w:tcW w:w="4680" w:type="dxa"/>
          </w:tcPr>
          <w:p>
            <w:r>
              <w:t xml:space="preserve">…/chart · …/calendar · …/editor · …/email</w:t>
            </w:r>
          </w:p>
        </w:tc>
        <w:tc>
          <w:tcPr>
            <w:tcW w:w="4680" w:type="dxa"/>
          </w:tcPr>
          <w:p>
            <w:r>
              <w:t xml:space="preserve">ECharts / FullCalendar / Tiptap / email — each behind its own sub-path.</w:t>
            </w:r>
          </w:p>
        </w:tc>
      </w:tr>
    </w:tbl>
    <w:p>
      <w:r>
        <w:t xml:space="preserve">Rule: import light components from the root; import anything that pulls a heavy dep (AG Grid, ECharts, Tiptap, FullCalendar) from its sub-path so the ecom bundle only pays for what a screen uses.</w:t>
      </w:r>
    </w:p>
    <w:p>
      <w:pPr>
        <w:pStyle w:val="Heading2"/>
      </w:pPr>
      <w:r>
        <w:t xml:space="preserve">Required wiring (once, at the app root)</w:t>
      </w:r>
    </w:p>
    <w:p>
      <w:pPr>
        <w:pStyle w:val="ListParagraph"/>
        <w:numPr>
          <w:ilvl w:val="0"/>
          <w:numId w:val="1"/>
        </w:numPr>
      </w:pPr>
      <w:r>
        <w:t xml:space="preserve">Wrap the app in AppConfigProvider (from /providers) inside AntD ConfigProvider + &lt;App&gt; so components read the theme + toast/modal context.</w:t>
      </w:r>
    </w:p>
    <w:p>
      <w:pPr>
        <w:pStyle w:val="ListParagraph"/>
        <w:numPr>
          <w:ilvl w:val="0"/>
          <w:numId w:val="1"/>
        </w:numPr>
      </w:pPr>
      <w:r>
        <w:t xml:space="preserve">Import the library stylesheet once: import '@solverminds/shared-ui/styles.css' (the lib marks CSS as a side-effect).</w:t>
      </w:r>
    </w:p>
    <w:p>
      <w:pPr>
        <w:pStyle w:val="ListParagraph"/>
        <w:numPr>
          <w:ilvl w:val="0"/>
          <w:numId w:val="1"/>
        </w:numPr>
      </w:pPr>
      <w:r>
        <w:t xml:space="preserve">Ensure peer deps exist in the app: react, antd, react-hook-form, zod.</w:t>
      </w:r>
    </w:p>
    <w:p>
      <w:pPr>
        <w:pStyle w:val="ListParagraph"/>
        <w:numPr>
          <w:ilvl w:val="0"/>
          <w:numId w:val="1"/>
        </w:numPr>
      </w:pPr>
      <w:r>
        <w:t xml:space="preserve">For any data-view screen, call initAgGridLicense() once at startup (AG Grid Enterprise key).</w:t>
      </w:r>
    </w:p>
    <w:p>
      <w:pPr>
        <w:pStyle w:val="Code"/>
      </w:pPr>
      <w:r>
        <w:t xml:space="preserve">import '@solverminds/shared-ui/styles.css'</w:t>
      </w:r>
    </w:p>
    <w:p>
      <w:pPr>
        <w:pStyle w:val="Code"/>
      </w:pPr>
      <w:r>
        <w:t xml:space="preserve">import { AppButton, FormInput, FormSelect, useToast } from '@solverminds/shared-ui'</w:t>
      </w:r>
    </w:p>
    <w:p>
      <w:pPr>
        <w:pStyle w:val="Code"/>
      </w:pPr>
      <w:r>
        <w:t xml:space="preserve">import { AppConfigProvider } from '@solverminds/shared-ui/providers'</w:t>
      </w:r>
    </w:p>
    <w:p>
      <w:pPr>
        <w:pStyle w:val="Code"/>
      </w:pPr>
      <w:r>
        <w:t xml:space="preserve">import { DataView } from '@solverminds/shared-ui/data-view'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form = useForm({ resolver: zodResolver(bookingSchema) })</w:t>
      </w:r>
    </w:p>
    <w:p>
      <w:pPr>
        <w:pStyle w:val="Code"/>
      </w:pPr>
      <w:r>
        <w:t xml:space="preserve">&lt;FormSelect control={form.control} name="pol" label="Port of loading" options={ports} /&gt;</w:t>
      </w:r>
    </w:p>
    <w:p>
      <w:pPr>
        <w:pStyle w:val="Code"/>
      </w:pPr>
      <w:r>
        <w:t xml:space="preserve">&lt;AppButton type="primary" onClick={save}&gt;Save&lt;/AppButton&gt;</w:t>
      </w:r>
    </w:p>
    <w:p>
      <w:r>
        <w:t xml:space="preserve">An ecom screen renders a shared-ui AppButton + Form* fields styled by the app theme, a useToast() fires, and a data-view grid loads only on its route (separate chunk).</w:t>
      </w:r>
    </w:p>
    <w:p>
      <w:pPr>
        <w:pStyle w:val="Heading1"/>
      </w:pPr>
      <w:r>
        <w:t xml:space="preserve">Setup checklist</w:t>
      </w:r>
    </w:p>
    <w:p>
      <w:r>
        <w:t xml:space="preserve">Companion to the architecture analysis. Once steps 00–10 are green, migrate remaining modules by the strangler-fig order (schedules → rates → booking → SI → BL/VGM → tracking → payments → statements → admin).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120" w:after="240"/>
    </w:pPr>
    <w:rPr>
      <w:b/>
      <w:color w:val="0E1524"/>
      <w:sz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4181F"/>
      <w:sz w:val="34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color w:val="B5531A"/>
      <w:sz w:val="24"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pPr>
      <w:spacing w:after="0" w:line="240" w:lineRule="auto"/>
      <w:shd w:val="clear" w:fill="0F1524"/>
      <w:ind w:left="120" w:right="120"/>
    </w:pPr>
    <w:rPr>
      <w:rFonts w:ascii="Consolas" w:hAnsi="Consolas"/>
      <w:color w:val="D6DEF5"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