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4935" w14:textId="77777777" w:rsidR="00CD3080" w:rsidRDefault="00CD3080">
      <w:pPr>
        <w:rPr>
          <w:rFonts w:hint="eastAsia"/>
        </w:rPr>
      </w:pPr>
    </w:p>
    <w:p w14:paraId="03187017" w14:textId="77777777" w:rsidR="00CD3080" w:rsidRDefault="00CD3080">
      <w:pPr>
        <w:rPr>
          <w:rFonts w:hint="eastAsia"/>
        </w:rPr>
      </w:pPr>
    </w:p>
    <w:p w14:paraId="5B90E351" w14:textId="77777777" w:rsidR="00CD3080" w:rsidRDefault="00CD3080">
      <w:pPr>
        <w:rPr>
          <w:rFonts w:hint="eastAsia"/>
        </w:rPr>
      </w:pPr>
    </w:p>
    <w:p w14:paraId="606D86C6" w14:textId="77777777" w:rsidR="00CD3080" w:rsidRDefault="00CD3080">
      <w:pPr>
        <w:rPr>
          <w:rFonts w:hint="eastAsia"/>
        </w:rPr>
      </w:pPr>
    </w:p>
    <w:p w14:paraId="64D83D6F" w14:textId="77777777" w:rsidR="00CD3080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36"/>
          <w:lang w:eastAsia="zh-CN"/>
        </w:rPr>
        <w:t>基于AI规则引擎的</w:t>
      </w:r>
    </w:p>
    <w:p w14:paraId="56B9AD8E" w14:textId="77777777" w:rsidR="00CD3080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内部存货交易未实现利润自动抵消系统</w:t>
      </w:r>
    </w:p>
    <w:p w14:paraId="2C43FF72" w14:textId="77777777" w:rsidR="00CD3080" w:rsidRDefault="00CD3080">
      <w:pPr>
        <w:rPr>
          <w:rFonts w:hint="eastAsia"/>
          <w:lang w:eastAsia="zh-CN"/>
        </w:rPr>
      </w:pPr>
    </w:p>
    <w:p w14:paraId="47AB909B" w14:textId="77777777" w:rsidR="00CD3080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36"/>
          <w:lang w:eastAsia="zh-CN"/>
        </w:rPr>
        <w:t>需求说明书</w:t>
      </w:r>
    </w:p>
    <w:p w14:paraId="1BD75C22" w14:textId="77777777" w:rsidR="00CD3080" w:rsidRDefault="00CD3080">
      <w:pPr>
        <w:rPr>
          <w:rFonts w:hint="eastAsia"/>
          <w:lang w:eastAsia="zh-CN"/>
        </w:rPr>
      </w:pPr>
    </w:p>
    <w:p w14:paraId="2FF64551" w14:textId="77777777" w:rsidR="00CD3080" w:rsidRDefault="00CD3080">
      <w:pPr>
        <w:rPr>
          <w:rFonts w:hint="eastAsia"/>
          <w:lang w:eastAsia="zh-CN"/>
        </w:rPr>
      </w:pPr>
    </w:p>
    <w:p w14:paraId="15CDFA69" w14:textId="77777777" w:rsidR="00CD3080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lang w:eastAsia="zh-CN"/>
        </w:rPr>
        <w:t>所属课程：</w:t>
      </w:r>
      <w:proofErr w:type="gramStart"/>
      <w:r>
        <w:rPr>
          <w:rFonts w:ascii="黑体" w:eastAsia="黑体" w:hAnsi="黑体"/>
          <w:lang w:eastAsia="zh-CN"/>
        </w:rPr>
        <w:t>财务数智化</w:t>
      </w:r>
      <w:proofErr w:type="gramEnd"/>
      <w:r>
        <w:rPr>
          <w:rFonts w:ascii="黑体" w:eastAsia="黑体" w:hAnsi="黑体"/>
          <w:lang w:eastAsia="zh-CN"/>
        </w:rPr>
        <w:t>转型与AI应用（2025级会计专硕）</w:t>
      </w:r>
    </w:p>
    <w:p w14:paraId="1A0C5AA6" w14:textId="77777777" w:rsidR="00CD3080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lang w:eastAsia="zh-CN"/>
        </w:rPr>
        <w:t>所属模块：DRP系统 T11 合并报表与一键出表</w:t>
      </w:r>
    </w:p>
    <w:p w14:paraId="66FE573D" w14:textId="77777777" w:rsidR="00CD3080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lang w:eastAsia="zh-CN"/>
        </w:rPr>
        <w:t>版    本：V3.0（交付定稿）</w:t>
      </w:r>
    </w:p>
    <w:p w14:paraId="46659D32" w14:textId="77777777" w:rsidR="00CD3080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lang w:eastAsia="zh-CN"/>
        </w:rPr>
        <w:t>编制日期：2026年5月29日</w:t>
      </w:r>
    </w:p>
    <w:p w14:paraId="434C5F6E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3F5D7C0" w14:textId="77777777" w:rsidR="00CD3080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目  录</w:t>
      </w:r>
    </w:p>
    <w:p w14:paraId="6962C3F4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1. 引言</w:t>
      </w:r>
    </w:p>
    <w:p w14:paraId="0D04545D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1.1 背景与编制目的</w:t>
      </w:r>
    </w:p>
    <w:p w14:paraId="7A253CC3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1.2 适用范围</w:t>
      </w:r>
    </w:p>
    <w:p w14:paraId="019901E6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1.3 术语与定义</w:t>
      </w:r>
    </w:p>
    <w:p w14:paraId="65EA8E2C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1.4 参考文档</w:t>
      </w:r>
    </w:p>
    <w:p w14:paraId="725D21F9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2. 功能概述</w:t>
      </w:r>
    </w:p>
    <w:p w14:paraId="79ED39A6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2.1 核心业务流程</w:t>
      </w:r>
    </w:p>
    <w:p w14:paraId="1CC9A099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2.2 用户角色</w:t>
      </w:r>
    </w:p>
    <w:p w14:paraId="7E22DAD4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3. 功能性需求</w:t>
      </w:r>
    </w:p>
    <w:p w14:paraId="1A3201A3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3.1 数据导入（SRS-F01）</w:t>
      </w:r>
    </w:p>
    <w:p w14:paraId="0B757F31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3.2 交易类型智能识别（SRS-F02）</w:t>
      </w:r>
    </w:p>
    <w:p w14:paraId="359D3E63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3.3 未实现利润计算引擎（SRS-F03）</w:t>
      </w:r>
    </w:p>
    <w:p w14:paraId="6C6F2FA8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3.4 抵消分录自动生成（SRS-F04）</w:t>
      </w:r>
    </w:p>
    <w:p w14:paraId="00843C1E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3.5 结果汇总与导出（SRS-F05）</w:t>
      </w:r>
    </w:p>
    <w:p w14:paraId="6C02F694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3.6 可追溯性（SRS-F06）</w:t>
      </w:r>
    </w:p>
    <w:p w14:paraId="48BA87FF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3.7 异常数据自动检测（SRS-F07）</w:t>
      </w:r>
    </w:p>
    <w:p w14:paraId="37002D29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3.8 可视化仪表盘（SRS-F08）</w:t>
      </w:r>
    </w:p>
    <w:p w14:paraId="1CD14A79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4. 技术方案</w:t>
      </w:r>
    </w:p>
    <w:p w14:paraId="2422CFDD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4.1 技术</w:t>
      </w:r>
      <w:proofErr w:type="gramStart"/>
      <w:r>
        <w:rPr>
          <w:lang w:eastAsia="zh-CN"/>
        </w:rPr>
        <w:t>栈</w:t>
      </w:r>
      <w:proofErr w:type="gramEnd"/>
    </w:p>
    <w:p w14:paraId="668D04D5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  4.2 选型说明</w:t>
      </w:r>
    </w:p>
    <w:p w14:paraId="4AFF5E62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4.3 系统架构</w:t>
      </w:r>
    </w:p>
    <w:p w14:paraId="41D4AADF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5. 接口设计</w:t>
      </w:r>
    </w:p>
    <w:p w14:paraId="16ABFB9D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6. 数据模型</w:t>
      </w:r>
    </w:p>
    <w:p w14:paraId="5EE07E44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7. 非功能性需求</w:t>
      </w:r>
    </w:p>
    <w:p w14:paraId="6558D470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8. 已实现 vs 未来扩展</w:t>
      </w:r>
    </w:p>
    <w:p w14:paraId="1BDAAF72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附录A：完整计算示例</w:t>
      </w:r>
    </w:p>
    <w:p w14:paraId="2F896B54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5E730DC" w14:textId="77777777" w:rsidR="00CD3080" w:rsidRDefault="00000000">
      <w:pPr>
        <w:rPr>
          <w:rFonts w:hint="eastAsia"/>
          <w:lang w:eastAsia="zh-CN"/>
        </w:rPr>
      </w:pPr>
      <w:r>
        <w:rPr>
          <w:b/>
          <w:sz w:val="28"/>
          <w:lang w:eastAsia="zh-CN"/>
        </w:rPr>
        <w:lastRenderedPageBreak/>
        <w:t>版本策略声明</w:t>
      </w:r>
    </w:p>
    <w:p w14:paraId="514A3C5E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本文档采用"大系统设计 + 模块化落地"策略：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CD3080" w14:paraId="002D3946" w14:textId="77777777">
        <w:trPr>
          <w:jc w:val="center"/>
        </w:trPr>
        <w:tc>
          <w:tcPr>
            <w:tcW w:w="2158" w:type="dxa"/>
          </w:tcPr>
          <w:p w14:paraId="27FAB0D3" w14:textId="77777777" w:rsidR="00CD308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版本</w:t>
            </w:r>
            <w:proofErr w:type="spellEnd"/>
          </w:p>
        </w:tc>
        <w:tc>
          <w:tcPr>
            <w:tcW w:w="2158" w:type="dxa"/>
          </w:tcPr>
          <w:p w14:paraId="575E5DDA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定位</w:t>
            </w:r>
          </w:p>
        </w:tc>
        <w:tc>
          <w:tcPr>
            <w:tcW w:w="2158" w:type="dxa"/>
          </w:tcPr>
          <w:p w14:paraId="5A434DCF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技术栈</w:t>
            </w:r>
          </w:p>
        </w:tc>
        <w:tc>
          <w:tcPr>
            <w:tcW w:w="2158" w:type="dxa"/>
          </w:tcPr>
          <w:p w14:paraId="630CE154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范围</w:t>
            </w:r>
          </w:p>
        </w:tc>
      </w:tr>
      <w:tr w:rsidR="00CD3080" w14:paraId="4FAD9F41" w14:textId="77777777">
        <w:trPr>
          <w:jc w:val="center"/>
        </w:trPr>
        <w:tc>
          <w:tcPr>
            <w:tcW w:w="2158" w:type="dxa"/>
          </w:tcPr>
          <w:p w14:paraId="61FAD92A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V2.0（本课程交付）</w:t>
            </w:r>
          </w:p>
        </w:tc>
        <w:tc>
          <w:tcPr>
            <w:tcW w:w="2158" w:type="dxa"/>
          </w:tcPr>
          <w:p w14:paraId="6F6A1CF0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模块化原型系统</w:t>
            </w:r>
          </w:p>
        </w:tc>
        <w:tc>
          <w:tcPr>
            <w:tcW w:w="2158" w:type="dxa"/>
          </w:tcPr>
          <w:p w14:paraId="54E51501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Python + Streamlit + SQLite + Matplotlib</w:t>
            </w:r>
          </w:p>
        </w:tc>
        <w:tc>
          <w:tcPr>
            <w:tcW w:w="2158" w:type="dxa"/>
          </w:tcPr>
          <w:p w14:paraId="73639DE7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核心计算引擎 + 仪表盘 + 异常检测</w:t>
            </w:r>
          </w:p>
        </w:tc>
      </w:tr>
      <w:tr w:rsidR="00CD3080" w14:paraId="793CAE43" w14:textId="77777777">
        <w:trPr>
          <w:jc w:val="center"/>
        </w:trPr>
        <w:tc>
          <w:tcPr>
            <w:tcW w:w="2158" w:type="dxa"/>
          </w:tcPr>
          <w:p w14:paraId="52C34FA9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V3.0+（</w:t>
            </w:r>
            <w:proofErr w:type="spellStart"/>
            <w:r>
              <w:rPr>
                <w:sz w:val="20"/>
              </w:rPr>
              <w:t>未来扩展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158" w:type="dxa"/>
          </w:tcPr>
          <w:p w14:paraId="29D3F870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企业级系统</w:t>
            </w:r>
          </w:p>
        </w:tc>
        <w:tc>
          <w:tcPr>
            <w:tcW w:w="2158" w:type="dxa"/>
          </w:tcPr>
          <w:p w14:paraId="43EEA5B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Java/Spring Boot + Vue 3 + 国产数据库</w:t>
            </w:r>
          </w:p>
        </w:tc>
        <w:tc>
          <w:tcPr>
            <w:tcW w:w="2158" w:type="dxa"/>
          </w:tcPr>
          <w:p w14:paraId="355782AB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全流程自动化 + 多系统对接</w:t>
            </w:r>
          </w:p>
        </w:tc>
      </w:tr>
    </w:tbl>
    <w:p w14:paraId="27F63FDF" w14:textId="77777777" w:rsidR="00CD3080" w:rsidRDefault="00CD3080">
      <w:pPr>
        <w:rPr>
          <w:rFonts w:hint="eastAsia"/>
          <w:lang w:eastAsia="zh-CN"/>
        </w:rPr>
      </w:pPr>
    </w:p>
    <w:p w14:paraId="2CFD077C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文档中标注"已实现"的功能均已编码完成并可运行。标注"未来扩展"的内容为架构预留，不在本次交付范围内。</w:t>
      </w:r>
    </w:p>
    <w:p w14:paraId="0214DFBD" w14:textId="77777777" w:rsidR="00CD3080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1. 引言</w:t>
      </w:r>
    </w:p>
    <w:p w14:paraId="75D81845" w14:textId="77777777" w:rsidR="00CD308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1.1 背景与编制目的</w:t>
      </w:r>
    </w:p>
    <w:p w14:paraId="7E27FB43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在集团型企业中，母子公司之间、子公司相互之间经常发生存货购销交易。按照《企业会计准则第33号——合并财务报表》的规定，编制合并报表时必须将内部交易产生的营业收入、营业成本予以抵消，同时对期末存货中包含的未实现内部销售利润予以抵消，并确认递延所得税影响。</w:t>
      </w:r>
    </w:p>
    <w:p w14:paraId="5EDF3558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传统手工抵消过程依赖财务人员在Excel中</w:t>
      </w:r>
      <w:proofErr w:type="gramStart"/>
      <w:r>
        <w:rPr>
          <w:lang w:eastAsia="zh-CN"/>
        </w:rPr>
        <w:t>逐笔勾对交易</w:t>
      </w:r>
      <w:proofErr w:type="gramEnd"/>
      <w:r>
        <w:rPr>
          <w:lang w:eastAsia="zh-CN"/>
        </w:rPr>
        <w:t>、手工计算未实现利润和编制抵消分录，存在以下痛点：</w:t>
      </w:r>
    </w:p>
    <w:p w14:paraId="340E627C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1. 工作量大：集团内部交易数据分散在多家法人主体的账簿中，逐笔匹配耗时漫长。</w:t>
      </w:r>
    </w:p>
    <w:p w14:paraId="26E51002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2. 易出错：顺流、逆流、平流交易的抵消比例不同，连续编报的期</w:t>
      </w:r>
      <w:proofErr w:type="gramStart"/>
      <w:r>
        <w:rPr>
          <w:lang w:eastAsia="zh-CN"/>
        </w:rPr>
        <w:t>初滚调</w:t>
      </w:r>
      <w:proofErr w:type="gramEnd"/>
      <w:r>
        <w:rPr>
          <w:lang w:eastAsia="zh-CN"/>
        </w:rPr>
        <w:t>复杂，人工计算容易遗漏或出错。</w:t>
      </w:r>
    </w:p>
    <w:p w14:paraId="3CA3D1DA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3. 追溯困难：审计、巡视、国资监管需要追溯每笔抵消的计算过程和依据时，手工痕迹难以完整还原。</w:t>
      </w:r>
    </w:p>
    <w:p w14:paraId="73B669B7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4. 与穿透监管要求脱节：国资委1号文、2号文要求实现数据同源、标准统一、互联互通、凭证一穿到底，手工抵消无法满足智能化监管闭环。</w:t>
      </w:r>
    </w:p>
    <w:p w14:paraId="3802834C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本系统旨在运用AI规则引擎技术，实现内部存货交易未实现利润的自动识别、自动计算、自动生成抵消分录。</w:t>
      </w:r>
    </w:p>
    <w:p w14:paraId="5373D127" w14:textId="77777777" w:rsidR="00CD3080" w:rsidRDefault="00000000">
      <w:pPr>
        <w:pStyle w:val="21"/>
      </w:pPr>
      <w:r>
        <w:rPr>
          <w:rFonts w:ascii="黑体" w:eastAsia="黑体" w:hAnsi="黑体"/>
        </w:rPr>
        <w:t xml:space="preserve">1.2 </w:t>
      </w:r>
      <w:proofErr w:type="spellStart"/>
      <w:r>
        <w:rPr>
          <w:rFonts w:ascii="黑体" w:eastAsia="黑体" w:hAnsi="黑体"/>
        </w:rPr>
        <w:t>适用范围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7"/>
      </w:tblGrid>
      <w:tr w:rsidR="00CD3080" w14:paraId="631570EC" w14:textId="77777777">
        <w:trPr>
          <w:jc w:val="center"/>
        </w:trPr>
        <w:tc>
          <w:tcPr>
            <w:tcW w:w="4317" w:type="dxa"/>
          </w:tcPr>
          <w:p w14:paraId="1D2B9724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4317" w:type="dxa"/>
          </w:tcPr>
          <w:p w14:paraId="2C520EFB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V2.0范围</w:t>
            </w:r>
          </w:p>
        </w:tc>
      </w:tr>
      <w:tr w:rsidR="00CD3080" w14:paraId="4AEE30AE" w14:textId="77777777">
        <w:trPr>
          <w:jc w:val="center"/>
        </w:trPr>
        <w:tc>
          <w:tcPr>
            <w:tcW w:w="4317" w:type="dxa"/>
          </w:tcPr>
          <w:p w14:paraId="489A0159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交易类型</w:t>
            </w:r>
          </w:p>
        </w:tc>
        <w:tc>
          <w:tcPr>
            <w:tcW w:w="4317" w:type="dxa"/>
          </w:tcPr>
          <w:p w14:paraId="57329796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顺流交易（母→子）、逆流交易（子→母）、平流交易（子↔子）</w:t>
            </w:r>
          </w:p>
        </w:tc>
      </w:tr>
      <w:tr w:rsidR="00CD3080" w14:paraId="1C3B33EA" w14:textId="77777777">
        <w:trPr>
          <w:jc w:val="center"/>
        </w:trPr>
        <w:tc>
          <w:tcPr>
            <w:tcW w:w="4317" w:type="dxa"/>
          </w:tcPr>
          <w:p w14:paraId="2ECE5F39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存货计价</w:t>
            </w:r>
            <w:proofErr w:type="spellEnd"/>
          </w:p>
        </w:tc>
        <w:tc>
          <w:tcPr>
            <w:tcW w:w="4317" w:type="dxa"/>
          </w:tcPr>
          <w:p w14:paraId="3E27E9A5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个别计价法、先进先出法（FIFO）</w:t>
            </w:r>
          </w:p>
        </w:tc>
      </w:tr>
      <w:tr w:rsidR="00CD3080" w14:paraId="7E293A53" w14:textId="77777777">
        <w:trPr>
          <w:jc w:val="center"/>
        </w:trPr>
        <w:tc>
          <w:tcPr>
            <w:tcW w:w="4317" w:type="dxa"/>
          </w:tcPr>
          <w:p w14:paraId="26434ABC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税务处理</w:t>
            </w:r>
            <w:proofErr w:type="spellEnd"/>
          </w:p>
        </w:tc>
        <w:tc>
          <w:tcPr>
            <w:tcW w:w="4317" w:type="dxa"/>
          </w:tcPr>
          <w:p w14:paraId="7E96E70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递延所得税自动计算</w:t>
            </w:r>
          </w:p>
        </w:tc>
      </w:tr>
      <w:tr w:rsidR="00CD3080" w14:paraId="19AA9380" w14:textId="77777777">
        <w:trPr>
          <w:jc w:val="center"/>
        </w:trPr>
        <w:tc>
          <w:tcPr>
            <w:tcW w:w="4317" w:type="dxa"/>
          </w:tcPr>
          <w:p w14:paraId="0EAF7313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少数股东</w:t>
            </w:r>
          </w:p>
        </w:tc>
        <w:tc>
          <w:tcPr>
            <w:tcW w:w="4317" w:type="dxa"/>
          </w:tcPr>
          <w:p w14:paraId="7BDE492F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逆流/平流场景自动分摊</w:t>
            </w:r>
          </w:p>
        </w:tc>
      </w:tr>
      <w:tr w:rsidR="00CD3080" w14:paraId="401CD17D" w14:textId="77777777">
        <w:trPr>
          <w:jc w:val="center"/>
        </w:trPr>
        <w:tc>
          <w:tcPr>
            <w:tcW w:w="4317" w:type="dxa"/>
          </w:tcPr>
          <w:p w14:paraId="3FE9600E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输入方式</w:t>
            </w:r>
            <w:proofErr w:type="spellEnd"/>
          </w:p>
        </w:tc>
        <w:tc>
          <w:tcPr>
            <w:tcW w:w="4317" w:type="dxa"/>
          </w:tcPr>
          <w:p w14:paraId="7716C8A8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Excel模板上传（内部销售表 + 存货结存表 + 股权关系表）</w:t>
            </w:r>
          </w:p>
        </w:tc>
      </w:tr>
      <w:tr w:rsidR="00CD3080" w14:paraId="77270585" w14:textId="77777777">
        <w:trPr>
          <w:jc w:val="center"/>
        </w:trPr>
        <w:tc>
          <w:tcPr>
            <w:tcW w:w="4317" w:type="dxa"/>
          </w:tcPr>
          <w:p w14:paraId="2C9D7703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输出方式</w:t>
            </w:r>
            <w:proofErr w:type="spellEnd"/>
          </w:p>
        </w:tc>
        <w:tc>
          <w:tcPr>
            <w:tcW w:w="4317" w:type="dxa"/>
          </w:tcPr>
          <w:p w14:paraId="2FEB765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抵消分录在线展示 + Excel/PDF导出</w:t>
            </w:r>
          </w:p>
        </w:tc>
      </w:tr>
    </w:tbl>
    <w:p w14:paraId="2F0BC870" w14:textId="77777777" w:rsidR="00CD3080" w:rsidRDefault="00CD3080">
      <w:pPr>
        <w:rPr>
          <w:rFonts w:hint="eastAsia"/>
        </w:rPr>
      </w:pPr>
    </w:p>
    <w:p w14:paraId="721533BF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V2.0暂不包含：加权平均法支持、存货跌价准备抵消、连续编报期</w:t>
      </w:r>
      <w:proofErr w:type="gramStart"/>
      <w:r>
        <w:rPr>
          <w:lang w:eastAsia="zh-CN"/>
        </w:rPr>
        <w:t>初滚调</w:t>
      </w:r>
      <w:proofErr w:type="gramEnd"/>
      <w:r>
        <w:rPr>
          <w:lang w:eastAsia="zh-CN"/>
        </w:rPr>
        <w:t>、XBRL输出、多系统API对接。</w:t>
      </w:r>
    </w:p>
    <w:p w14:paraId="326F1608" w14:textId="77777777" w:rsidR="00CD3080" w:rsidRDefault="00000000">
      <w:pPr>
        <w:pStyle w:val="21"/>
      </w:pPr>
      <w:r>
        <w:rPr>
          <w:rFonts w:ascii="黑体" w:eastAsia="黑体" w:hAnsi="黑体"/>
        </w:rPr>
        <w:t xml:space="preserve">1.3 </w:t>
      </w:r>
      <w:proofErr w:type="spellStart"/>
      <w:r>
        <w:rPr>
          <w:rFonts w:ascii="黑体" w:eastAsia="黑体" w:hAnsi="黑体"/>
        </w:rPr>
        <w:t>术语与定义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7"/>
      </w:tblGrid>
      <w:tr w:rsidR="00CD3080" w14:paraId="0E9F8B86" w14:textId="77777777">
        <w:trPr>
          <w:jc w:val="center"/>
        </w:trPr>
        <w:tc>
          <w:tcPr>
            <w:tcW w:w="4317" w:type="dxa"/>
          </w:tcPr>
          <w:p w14:paraId="6AACFD42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w="4317" w:type="dxa"/>
          </w:tcPr>
          <w:p w14:paraId="097CAA57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定义</w:t>
            </w:r>
          </w:p>
        </w:tc>
      </w:tr>
      <w:tr w:rsidR="00CD3080" w14:paraId="185E20AC" w14:textId="77777777">
        <w:trPr>
          <w:jc w:val="center"/>
        </w:trPr>
        <w:tc>
          <w:tcPr>
            <w:tcW w:w="4317" w:type="dxa"/>
          </w:tcPr>
          <w:p w14:paraId="19B844D6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内部存货交易</w:t>
            </w:r>
          </w:p>
        </w:tc>
        <w:tc>
          <w:tcPr>
            <w:tcW w:w="4317" w:type="dxa"/>
          </w:tcPr>
          <w:p w14:paraId="4D357F36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合并范围内法人主体之间发生的存货购销业务</w:t>
            </w:r>
          </w:p>
        </w:tc>
      </w:tr>
      <w:tr w:rsidR="00CD3080" w14:paraId="42051AF0" w14:textId="77777777">
        <w:trPr>
          <w:jc w:val="center"/>
        </w:trPr>
        <w:tc>
          <w:tcPr>
            <w:tcW w:w="4317" w:type="dxa"/>
          </w:tcPr>
          <w:p w14:paraId="6E182918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未实现内部销售利润</w:t>
            </w:r>
            <w:proofErr w:type="spellEnd"/>
          </w:p>
        </w:tc>
        <w:tc>
          <w:tcPr>
            <w:tcW w:w="4317" w:type="dxa"/>
          </w:tcPr>
          <w:p w14:paraId="2FED69EB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内部销售方已确认利润，但从集团整体角度看存货尚未对外售出，该利润未实现</w:t>
            </w:r>
          </w:p>
        </w:tc>
      </w:tr>
      <w:tr w:rsidR="00CD3080" w14:paraId="38A170D9" w14:textId="77777777">
        <w:trPr>
          <w:jc w:val="center"/>
        </w:trPr>
        <w:tc>
          <w:tcPr>
            <w:tcW w:w="4317" w:type="dxa"/>
          </w:tcPr>
          <w:p w14:paraId="58E7365D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顺流交易</w:t>
            </w:r>
            <w:proofErr w:type="spellEnd"/>
          </w:p>
        </w:tc>
        <w:tc>
          <w:tcPr>
            <w:tcW w:w="4317" w:type="dxa"/>
          </w:tcPr>
          <w:p w14:paraId="391D6B12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母公司向子公司销售，未实现利润全部归属于母公司股东</w:t>
            </w:r>
          </w:p>
        </w:tc>
      </w:tr>
      <w:tr w:rsidR="00CD3080" w14:paraId="0AEDFB4D" w14:textId="77777777">
        <w:trPr>
          <w:jc w:val="center"/>
        </w:trPr>
        <w:tc>
          <w:tcPr>
            <w:tcW w:w="4317" w:type="dxa"/>
          </w:tcPr>
          <w:p w14:paraId="24731079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逆流交易</w:t>
            </w:r>
            <w:proofErr w:type="spellEnd"/>
          </w:p>
        </w:tc>
        <w:tc>
          <w:tcPr>
            <w:tcW w:w="4317" w:type="dxa"/>
          </w:tcPr>
          <w:p w14:paraId="6D4BAB0D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子公司向母公司销售，未实现利润在母公司与</w:t>
            </w:r>
            <w:r>
              <w:rPr>
                <w:sz w:val="20"/>
                <w:lang w:eastAsia="zh-CN"/>
              </w:rPr>
              <w:lastRenderedPageBreak/>
              <w:t>少数股东之间按持股比例分摊</w:t>
            </w:r>
          </w:p>
        </w:tc>
      </w:tr>
      <w:tr w:rsidR="00CD3080" w14:paraId="776B89E2" w14:textId="77777777">
        <w:trPr>
          <w:jc w:val="center"/>
        </w:trPr>
        <w:tc>
          <w:tcPr>
            <w:tcW w:w="4317" w:type="dxa"/>
          </w:tcPr>
          <w:p w14:paraId="66CE69E6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平流交易</w:t>
            </w:r>
            <w:proofErr w:type="spellEnd"/>
          </w:p>
        </w:tc>
        <w:tc>
          <w:tcPr>
            <w:tcW w:w="4317" w:type="dxa"/>
          </w:tcPr>
          <w:p w14:paraId="17C18DD9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子公司之间相互销售，未实现利润在销售方母公司与少数股东之间分摊</w:t>
            </w:r>
          </w:p>
        </w:tc>
      </w:tr>
      <w:tr w:rsidR="00CD3080" w14:paraId="6DB5AC77" w14:textId="77777777">
        <w:trPr>
          <w:jc w:val="center"/>
        </w:trPr>
        <w:tc>
          <w:tcPr>
            <w:tcW w:w="4317" w:type="dxa"/>
          </w:tcPr>
          <w:p w14:paraId="73958AF3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抵消分录</w:t>
            </w:r>
            <w:proofErr w:type="spellEnd"/>
          </w:p>
        </w:tc>
        <w:tc>
          <w:tcPr>
            <w:tcW w:w="4317" w:type="dxa"/>
          </w:tcPr>
          <w:p w14:paraId="4B008330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在合并底稿层面编制的调整分录，不影响各法人主体的独立账簿</w:t>
            </w:r>
          </w:p>
        </w:tc>
      </w:tr>
      <w:tr w:rsidR="00CD3080" w14:paraId="36963A61" w14:textId="77777777">
        <w:trPr>
          <w:jc w:val="center"/>
        </w:trPr>
        <w:tc>
          <w:tcPr>
            <w:tcW w:w="4317" w:type="dxa"/>
          </w:tcPr>
          <w:p w14:paraId="6DA63DE0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AI规则引擎</w:t>
            </w:r>
            <w:proofErr w:type="spellEnd"/>
          </w:p>
        </w:tc>
        <w:tc>
          <w:tcPr>
            <w:tcW w:w="4317" w:type="dxa"/>
          </w:tcPr>
          <w:p w14:paraId="1DA0A2E7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基于可配置业务规则（</w:t>
            </w:r>
            <w:proofErr w:type="gramStart"/>
            <w:r>
              <w:rPr>
                <w:sz w:val="20"/>
                <w:lang w:eastAsia="zh-CN"/>
              </w:rPr>
              <w:t>非硬编码</w:t>
            </w:r>
            <w:proofErr w:type="gramEnd"/>
            <w:r>
              <w:rPr>
                <w:sz w:val="20"/>
                <w:lang w:eastAsia="zh-CN"/>
              </w:rPr>
              <w:t>）自动判断交易类型、选择抵消模板、执行计算逻辑的核心组件</w:t>
            </w:r>
          </w:p>
        </w:tc>
      </w:tr>
    </w:tbl>
    <w:p w14:paraId="3C4A7980" w14:textId="77777777" w:rsidR="00CD3080" w:rsidRDefault="00CD3080">
      <w:pPr>
        <w:rPr>
          <w:rFonts w:hint="eastAsia"/>
          <w:lang w:eastAsia="zh-CN"/>
        </w:rPr>
      </w:pPr>
    </w:p>
    <w:p w14:paraId="1023EA4F" w14:textId="77777777" w:rsidR="00CD308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1.4 参考文档</w:t>
      </w:r>
    </w:p>
    <w:p w14:paraId="4CE0A520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《企业会计准则第33号——合并财务报表》（财政部2014年修订）</w:t>
      </w:r>
    </w:p>
    <w:p w14:paraId="612BA0F4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《企业会计准则第18号——所得税》</w:t>
      </w:r>
    </w:p>
    <w:p w14:paraId="61CA92CC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国务院国资委《关于推动中央企业加快财务数智化转型升级的指导意见》（2026年1号文）</w:t>
      </w:r>
    </w:p>
    <w:p w14:paraId="336E7400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国务院国资委《关于加强中央企业穿透式监管的指导意见（试行）》（2026年2号文）</w:t>
      </w:r>
    </w:p>
    <w:p w14:paraId="2F650050" w14:textId="77777777" w:rsidR="00CD3080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2. 功能概述</w:t>
      </w:r>
    </w:p>
    <w:p w14:paraId="50C9CE82" w14:textId="77777777" w:rsidR="00CD308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2.1 核心业务流程</w:t>
      </w:r>
    </w:p>
    <w:p w14:paraId="69043C12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用户上传三份Excel表格（股权关系配置表、内部销售明细表、存货期末结存表），系统自动完成以下流程：</w:t>
      </w:r>
    </w:p>
    <w:p w14:paraId="62817F7D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步骤1：数据校验与预处理</w:t>
      </w:r>
    </w:p>
    <w:p w14:paraId="1D04CF68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步骤2：异常数据自动检测（4种规则）</w:t>
      </w:r>
    </w:p>
    <w:p w14:paraId="5C9578F5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步骤3：AI规则引擎——交易类型自动识别（顺流/逆流/平流）</w:t>
      </w:r>
    </w:p>
    <w:p w14:paraId="6D4E4756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步骤4：未实现利润自动计算</w:t>
      </w:r>
    </w:p>
    <w:p w14:paraId="6F13A381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步骤5：抵消分录自动生成（</w:t>
      </w:r>
      <w:proofErr w:type="gramStart"/>
      <w:r w:rsidRPr="00FF6427">
        <w:rPr>
          <w:szCs w:val="24"/>
          <w:lang w:eastAsia="zh-CN"/>
        </w:rPr>
        <w:t>含递延</w:t>
      </w:r>
      <w:proofErr w:type="gramEnd"/>
      <w:r w:rsidRPr="00FF6427">
        <w:rPr>
          <w:szCs w:val="24"/>
          <w:lang w:eastAsia="zh-CN"/>
        </w:rPr>
        <w:t>所得税 + 少数股东分摊）</w:t>
      </w:r>
    </w:p>
    <w:p w14:paraId="5F74700A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步骤6：仪表盘展示（KPI卡片 + 图表 + 抵消前后对比表）</w:t>
      </w:r>
    </w:p>
    <w:p w14:paraId="10FB2A4B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步骤7：结果导出（Excel + PDF）</w:t>
      </w:r>
    </w:p>
    <w:p w14:paraId="0E923FFD" w14:textId="77777777" w:rsidR="00CD308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2.2 用户角色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7"/>
      </w:tblGrid>
      <w:tr w:rsidR="00CD3080" w14:paraId="18E7351B" w14:textId="77777777">
        <w:trPr>
          <w:jc w:val="center"/>
        </w:trPr>
        <w:tc>
          <w:tcPr>
            <w:tcW w:w="4317" w:type="dxa"/>
          </w:tcPr>
          <w:p w14:paraId="1BAD7DFE" w14:textId="77777777" w:rsidR="00CD308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角色</w:t>
            </w:r>
            <w:proofErr w:type="spellEnd"/>
          </w:p>
        </w:tc>
        <w:tc>
          <w:tcPr>
            <w:tcW w:w="4317" w:type="dxa"/>
          </w:tcPr>
          <w:p w14:paraId="69C72BC6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操作</w:t>
            </w:r>
          </w:p>
        </w:tc>
      </w:tr>
      <w:tr w:rsidR="00CD3080" w14:paraId="40C627BA" w14:textId="77777777">
        <w:trPr>
          <w:jc w:val="center"/>
        </w:trPr>
        <w:tc>
          <w:tcPr>
            <w:tcW w:w="4317" w:type="dxa"/>
          </w:tcPr>
          <w:p w14:paraId="78ED0F0B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合并报表编制人</w:t>
            </w:r>
          </w:p>
        </w:tc>
        <w:tc>
          <w:tcPr>
            <w:tcW w:w="4317" w:type="dxa"/>
          </w:tcPr>
          <w:p w14:paraId="396708B7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上传Excel → 查看仪表盘 → 调整参数 → 导出报告</w:t>
            </w:r>
          </w:p>
        </w:tc>
      </w:tr>
    </w:tbl>
    <w:p w14:paraId="0CEEDCD8" w14:textId="77777777" w:rsidR="00CD3080" w:rsidRDefault="00CD3080">
      <w:pPr>
        <w:rPr>
          <w:rFonts w:hint="eastAsia"/>
          <w:lang w:eastAsia="zh-CN"/>
        </w:rPr>
      </w:pPr>
    </w:p>
    <w:p w14:paraId="429B0EE1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V2.0为单</w:t>
      </w:r>
      <w:proofErr w:type="gramStart"/>
      <w:r>
        <w:rPr>
          <w:lang w:eastAsia="zh-CN"/>
        </w:rPr>
        <w:t>用户本地</w:t>
      </w:r>
      <w:proofErr w:type="gramEnd"/>
      <w:r>
        <w:rPr>
          <w:lang w:eastAsia="zh-CN"/>
        </w:rPr>
        <w:t>运行，不涉及多角色权限管理。</w:t>
      </w:r>
    </w:p>
    <w:p w14:paraId="5196A15C" w14:textId="77777777" w:rsidR="00CD3080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3. 功能性需求</w:t>
      </w:r>
    </w:p>
    <w:p w14:paraId="1AB9152D" w14:textId="77777777" w:rsidR="00CD308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3.1 数据导入（SRS-F01）</w:t>
      </w:r>
    </w:p>
    <w:p w14:paraId="496E0F27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用户按标准模板准备三份Excel表格，通过Web界面上传。系统自动校验列名完整性、数值字段合法性。</w:t>
      </w:r>
    </w:p>
    <w:p w14:paraId="1E4820AA" w14:textId="77777777" w:rsidR="00CD30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表A：股权关系配置表（一次性配置）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CD3080" w14:paraId="23848749" w14:textId="77777777">
        <w:trPr>
          <w:jc w:val="center"/>
        </w:trPr>
        <w:tc>
          <w:tcPr>
            <w:tcW w:w="2158" w:type="dxa"/>
          </w:tcPr>
          <w:p w14:paraId="5019D6E6" w14:textId="77777777" w:rsidR="00CD308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列名</w:t>
            </w:r>
            <w:proofErr w:type="spellEnd"/>
          </w:p>
        </w:tc>
        <w:tc>
          <w:tcPr>
            <w:tcW w:w="2158" w:type="dxa"/>
          </w:tcPr>
          <w:p w14:paraId="0A5617CA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58" w:type="dxa"/>
          </w:tcPr>
          <w:p w14:paraId="23DB58E1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2158" w:type="dxa"/>
          </w:tcPr>
          <w:p w14:paraId="30ED87EE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示例</w:t>
            </w:r>
          </w:p>
        </w:tc>
      </w:tr>
      <w:tr w:rsidR="00CD3080" w14:paraId="48E9344D" w14:textId="77777777">
        <w:trPr>
          <w:jc w:val="center"/>
        </w:trPr>
        <w:tc>
          <w:tcPr>
            <w:tcW w:w="2158" w:type="dxa"/>
          </w:tcPr>
          <w:p w14:paraId="2E46BC7C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母公司编码</w:t>
            </w:r>
          </w:p>
        </w:tc>
        <w:tc>
          <w:tcPr>
            <w:tcW w:w="2158" w:type="dxa"/>
          </w:tcPr>
          <w:p w14:paraId="6AB9A707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文本</w:t>
            </w:r>
          </w:p>
        </w:tc>
        <w:tc>
          <w:tcPr>
            <w:tcW w:w="2158" w:type="dxa"/>
          </w:tcPr>
          <w:p w14:paraId="6F49AA68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投资方主体唯一标识</w:t>
            </w:r>
          </w:p>
        </w:tc>
        <w:tc>
          <w:tcPr>
            <w:tcW w:w="2158" w:type="dxa"/>
          </w:tcPr>
          <w:p w14:paraId="781B4313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P001</w:t>
            </w:r>
          </w:p>
        </w:tc>
      </w:tr>
      <w:tr w:rsidR="00CD3080" w14:paraId="06EACC23" w14:textId="77777777">
        <w:trPr>
          <w:jc w:val="center"/>
        </w:trPr>
        <w:tc>
          <w:tcPr>
            <w:tcW w:w="2158" w:type="dxa"/>
          </w:tcPr>
          <w:p w14:paraId="35884650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子公司编码</w:t>
            </w:r>
          </w:p>
        </w:tc>
        <w:tc>
          <w:tcPr>
            <w:tcW w:w="2158" w:type="dxa"/>
          </w:tcPr>
          <w:p w14:paraId="47FE4AD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文本</w:t>
            </w:r>
          </w:p>
        </w:tc>
        <w:tc>
          <w:tcPr>
            <w:tcW w:w="2158" w:type="dxa"/>
          </w:tcPr>
          <w:p w14:paraId="01893961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被投资方主体唯一标识</w:t>
            </w:r>
          </w:p>
        </w:tc>
        <w:tc>
          <w:tcPr>
            <w:tcW w:w="2158" w:type="dxa"/>
          </w:tcPr>
          <w:p w14:paraId="086ADE9C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S001</w:t>
            </w:r>
          </w:p>
        </w:tc>
      </w:tr>
      <w:tr w:rsidR="00CD3080" w14:paraId="4FEBADB5" w14:textId="77777777">
        <w:trPr>
          <w:jc w:val="center"/>
        </w:trPr>
        <w:tc>
          <w:tcPr>
            <w:tcW w:w="2158" w:type="dxa"/>
          </w:tcPr>
          <w:p w14:paraId="78A601F0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母公司持股比例</w:t>
            </w:r>
          </w:p>
        </w:tc>
        <w:tc>
          <w:tcPr>
            <w:tcW w:w="2158" w:type="dxa"/>
          </w:tcPr>
          <w:p w14:paraId="13A5449F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数值</w:t>
            </w:r>
          </w:p>
        </w:tc>
        <w:tc>
          <w:tcPr>
            <w:tcW w:w="2158" w:type="dxa"/>
          </w:tcPr>
          <w:p w14:paraId="46463D56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0-1之间</w:t>
            </w:r>
          </w:p>
        </w:tc>
        <w:tc>
          <w:tcPr>
            <w:tcW w:w="2158" w:type="dxa"/>
          </w:tcPr>
          <w:p w14:paraId="0FABE137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0.80</w:t>
            </w:r>
          </w:p>
        </w:tc>
      </w:tr>
      <w:tr w:rsidR="00CD3080" w14:paraId="6331C641" w14:textId="77777777">
        <w:trPr>
          <w:jc w:val="center"/>
        </w:trPr>
        <w:tc>
          <w:tcPr>
            <w:tcW w:w="2158" w:type="dxa"/>
          </w:tcPr>
          <w:p w14:paraId="1F73D179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是否纳入合并</w:t>
            </w:r>
          </w:p>
        </w:tc>
        <w:tc>
          <w:tcPr>
            <w:tcW w:w="2158" w:type="dxa"/>
          </w:tcPr>
          <w:p w14:paraId="3937C4D5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是/否</w:t>
            </w:r>
          </w:p>
        </w:tc>
        <w:tc>
          <w:tcPr>
            <w:tcW w:w="2158" w:type="dxa"/>
          </w:tcPr>
          <w:p w14:paraId="2B86E9DC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是否在合并范围内</w:t>
            </w:r>
          </w:p>
        </w:tc>
        <w:tc>
          <w:tcPr>
            <w:tcW w:w="2158" w:type="dxa"/>
          </w:tcPr>
          <w:p w14:paraId="71C66586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</w:tr>
    </w:tbl>
    <w:p w14:paraId="078FA021" w14:textId="77777777" w:rsidR="00CD3080" w:rsidRDefault="00CD3080">
      <w:pPr>
        <w:rPr>
          <w:rFonts w:hint="eastAsia"/>
        </w:rPr>
      </w:pPr>
    </w:p>
    <w:p w14:paraId="2BFED6C6" w14:textId="77777777" w:rsidR="00CD30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表B：内部销售明细表（每月上传）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CD3080" w14:paraId="7364878F" w14:textId="77777777">
        <w:trPr>
          <w:jc w:val="center"/>
        </w:trPr>
        <w:tc>
          <w:tcPr>
            <w:tcW w:w="2158" w:type="dxa"/>
          </w:tcPr>
          <w:p w14:paraId="6A823A07" w14:textId="77777777" w:rsidR="00CD308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列名</w:t>
            </w:r>
            <w:proofErr w:type="spellEnd"/>
          </w:p>
        </w:tc>
        <w:tc>
          <w:tcPr>
            <w:tcW w:w="2158" w:type="dxa"/>
          </w:tcPr>
          <w:p w14:paraId="20F8FF0E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58" w:type="dxa"/>
          </w:tcPr>
          <w:p w14:paraId="0B5D6DC4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2158" w:type="dxa"/>
          </w:tcPr>
          <w:p w14:paraId="1A48BC17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示例</w:t>
            </w:r>
          </w:p>
        </w:tc>
      </w:tr>
      <w:tr w:rsidR="00CD3080" w14:paraId="5AD5F7F4" w14:textId="77777777">
        <w:trPr>
          <w:jc w:val="center"/>
        </w:trPr>
        <w:tc>
          <w:tcPr>
            <w:tcW w:w="2158" w:type="dxa"/>
          </w:tcPr>
          <w:p w14:paraId="72B1648B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销售方编码</w:t>
            </w:r>
          </w:p>
        </w:tc>
        <w:tc>
          <w:tcPr>
            <w:tcW w:w="2158" w:type="dxa"/>
          </w:tcPr>
          <w:p w14:paraId="1A6B2268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文本</w:t>
            </w:r>
          </w:p>
        </w:tc>
        <w:tc>
          <w:tcPr>
            <w:tcW w:w="2158" w:type="dxa"/>
          </w:tcPr>
          <w:p w14:paraId="1B13B7A4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销售方主体唯一标识</w:t>
            </w:r>
          </w:p>
        </w:tc>
        <w:tc>
          <w:tcPr>
            <w:tcW w:w="2158" w:type="dxa"/>
          </w:tcPr>
          <w:p w14:paraId="5E78C978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P001</w:t>
            </w:r>
          </w:p>
        </w:tc>
      </w:tr>
      <w:tr w:rsidR="00CD3080" w14:paraId="1595AAFB" w14:textId="77777777">
        <w:trPr>
          <w:jc w:val="center"/>
        </w:trPr>
        <w:tc>
          <w:tcPr>
            <w:tcW w:w="2158" w:type="dxa"/>
          </w:tcPr>
          <w:p w14:paraId="5D96330A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购买方编码</w:t>
            </w:r>
          </w:p>
        </w:tc>
        <w:tc>
          <w:tcPr>
            <w:tcW w:w="2158" w:type="dxa"/>
          </w:tcPr>
          <w:p w14:paraId="6630F9F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文本</w:t>
            </w:r>
          </w:p>
        </w:tc>
        <w:tc>
          <w:tcPr>
            <w:tcW w:w="2158" w:type="dxa"/>
          </w:tcPr>
          <w:p w14:paraId="7FF1A7A8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购买方主体唯一标识</w:t>
            </w:r>
          </w:p>
        </w:tc>
        <w:tc>
          <w:tcPr>
            <w:tcW w:w="2158" w:type="dxa"/>
          </w:tcPr>
          <w:p w14:paraId="74B9C3B3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S001</w:t>
            </w:r>
          </w:p>
        </w:tc>
      </w:tr>
      <w:tr w:rsidR="00CD3080" w14:paraId="4BA7560F" w14:textId="77777777">
        <w:trPr>
          <w:jc w:val="center"/>
        </w:trPr>
        <w:tc>
          <w:tcPr>
            <w:tcW w:w="2158" w:type="dxa"/>
          </w:tcPr>
          <w:p w14:paraId="29CD29E4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存货批次号</w:t>
            </w:r>
          </w:p>
        </w:tc>
        <w:tc>
          <w:tcPr>
            <w:tcW w:w="2158" w:type="dxa"/>
          </w:tcPr>
          <w:p w14:paraId="3ECCC6FA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文本</w:t>
            </w:r>
          </w:p>
        </w:tc>
        <w:tc>
          <w:tcPr>
            <w:tcW w:w="2158" w:type="dxa"/>
          </w:tcPr>
          <w:p w14:paraId="50FA32AC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存货批次唯一标识</w:t>
            </w:r>
          </w:p>
        </w:tc>
        <w:tc>
          <w:tcPr>
            <w:tcW w:w="2158" w:type="dxa"/>
          </w:tcPr>
          <w:p w14:paraId="2976BFC3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B202605001</w:t>
            </w:r>
          </w:p>
        </w:tc>
      </w:tr>
      <w:tr w:rsidR="00CD3080" w14:paraId="21C7CE77" w14:textId="77777777">
        <w:trPr>
          <w:jc w:val="center"/>
        </w:trPr>
        <w:tc>
          <w:tcPr>
            <w:tcW w:w="2158" w:type="dxa"/>
          </w:tcPr>
          <w:p w14:paraId="6D9D5C75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存货名称</w:t>
            </w:r>
          </w:p>
        </w:tc>
        <w:tc>
          <w:tcPr>
            <w:tcW w:w="2158" w:type="dxa"/>
          </w:tcPr>
          <w:p w14:paraId="48F0DAA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文本</w:t>
            </w:r>
          </w:p>
        </w:tc>
        <w:tc>
          <w:tcPr>
            <w:tcW w:w="2158" w:type="dxa"/>
          </w:tcPr>
          <w:p w14:paraId="5B004281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存货品名</w:t>
            </w:r>
          </w:p>
        </w:tc>
        <w:tc>
          <w:tcPr>
            <w:tcW w:w="2158" w:type="dxa"/>
          </w:tcPr>
          <w:p w14:paraId="34043DE8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A产品</w:t>
            </w:r>
          </w:p>
        </w:tc>
      </w:tr>
      <w:tr w:rsidR="00CD3080" w14:paraId="46C1AD89" w14:textId="77777777">
        <w:trPr>
          <w:jc w:val="center"/>
        </w:trPr>
        <w:tc>
          <w:tcPr>
            <w:tcW w:w="2158" w:type="dxa"/>
          </w:tcPr>
          <w:p w14:paraId="09487543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销售收入</w:t>
            </w:r>
          </w:p>
        </w:tc>
        <w:tc>
          <w:tcPr>
            <w:tcW w:w="2158" w:type="dxa"/>
          </w:tcPr>
          <w:p w14:paraId="3BC75080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数值</w:t>
            </w:r>
          </w:p>
        </w:tc>
        <w:tc>
          <w:tcPr>
            <w:tcW w:w="2158" w:type="dxa"/>
          </w:tcPr>
          <w:p w14:paraId="68680B13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内部销售收入（不含税）</w:t>
            </w:r>
          </w:p>
        </w:tc>
        <w:tc>
          <w:tcPr>
            <w:tcW w:w="2158" w:type="dxa"/>
          </w:tcPr>
          <w:p w14:paraId="7A7DCA2A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1,000,000</w:t>
            </w:r>
          </w:p>
        </w:tc>
      </w:tr>
      <w:tr w:rsidR="00CD3080" w14:paraId="3EA67627" w14:textId="77777777">
        <w:trPr>
          <w:jc w:val="center"/>
        </w:trPr>
        <w:tc>
          <w:tcPr>
            <w:tcW w:w="2158" w:type="dxa"/>
          </w:tcPr>
          <w:p w14:paraId="0F2B396A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销售成本</w:t>
            </w:r>
          </w:p>
        </w:tc>
        <w:tc>
          <w:tcPr>
            <w:tcW w:w="2158" w:type="dxa"/>
          </w:tcPr>
          <w:p w14:paraId="0846466B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数值</w:t>
            </w:r>
          </w:p>
        </w:tc>
        <w:tc>
          <w:tcPr>
            <w:tcW w:w="2158" w:type="dxa"/>
          </w:tcPr>
          <w:p w14:paraId="0B081F1C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内部销售成本</w:t>
            </w:r>
          </w:p>
        </w:tc>
        <w:tc>
          <w:tcPr>
            <w:tcW w:w="2158" w:type="dxa"/>
          </w:tcPr>
          <w:p w14:paraId="519E3D67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600,000</w:t>
            </w:r>
          </w:p>
        </w:tc>
      </w:tr>
      <w:tr w:rsidR="00CD3080" w14:paraId="38FDCB3E" w14:textId="77777777">
        <w:trPr>
          <w:jc w:val="center"/>
        </w:trPr>
        <w:tc>
          <w:tcPr>
            <w:tcW w:w="2158" w:type="dxa"/>
          </w:tcPr>
          <w:p w14:paraId="130F98ED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销售数量</w:t>
            </w:r>
          </w:p>
        </w:tc>
        <w:tc>
          <w:tcPr>
            <w:tcW w:w="2158" w:type="dxa"/>
          </w:tcPr>
          <w:p w14:paraId="586A7F0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数值</w:t>
            </w:r>
          </w:p>
        </w:tc>
        <w:tc>
          <w:tcPr>
            <w:tcW w:w="2158" w:type="dxa"/>
          </w:tcPr>
          <w:p w14:paraId="08975170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内部销售数量</w:t>
            </w:r>
          </w:p>
        </w:tc>
        <w:tc>
          <w:tcPr>
            <w:tcW w:w="2158" w:type="dxa"/>
          </w:tcPr>
          <w:p w14:paraId="301BE3C5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</w:t>
            </w:r>
          </w:p>
        </w:tc>
      </w:tr>
      <w:tr w:rsidR="00CD3080" w14:paraId="08FAE261" w14:textId="77777777">
        <w:trPr>
          <w:jc w:val="center"/>
        </w:trPr>
        <w:tc>
          <w:tcPr>
            <w:tcW w:w="2158" w:type="dxa"/>
          </w:tcPr>
          <w:p w14:paraId="7B6AD8B8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会计期间</w:t>
            </w:r>
          </w:p>
        </w:tc>
        <w:tc>
          <w:tcPr>
            <w:tcW w:w="2158" w:type="dxa"/>
          </w:tcPr>
          <w:p w14:paraId="4D090AD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文本</w:t>
            </w:r>
          </w:p>
        </w:tc>
        <w:tc>
          <w:tcPr>
            <w:tcW w:w="2158" w:type="dxa"/>
          </w:tcPr>
          <w:p w14:paraId="6EF0FD6B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YYYYMM</w:t>
            </w:r>
          </w:p>
        </w:tc>
        <w:tc>
          <w:tcPr>
            <w:tcW w:w="2158" w:type="dxa"/>
          </w:tcPr>
          <w:p w14:paraId="2E36D7A0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202605</w:t>
            </w:r>
          </w:p>
        </w:tc>
      </w:tr>
    </w:tbl>
    <w:p w14:paraId="1BCB6122" w14:textId="77777777" w:rsidR="00CD3080" w:rsidRDefault="00CD3080">
      <w:pPr>
        <w:rPr>
          <w:rFonts w:hint="eastAsia"/>
        </w:rPr>
      </w:pPr>
    </w:p>
    <w:p w14:paraId="645A0A2D" w14:textId="77777777" w:rsidR="00CD30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表C：存货期末结存表（每月上传）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CD3080" w14:paraId="3CC0EF7A" w14:textId="77777777">
        <w:trPr>
          <w:jc w:val="center"/>
        </w:trPr>
        <w:tc>
          <w:tcPr>
            <w:tcW w:w="2158" w:type="dxa"/>
          </w:tcPr>
          <w:p w14:paraId="6D453C5B" w14:textId="77777777" w:rsidR="00CD308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列名</w:t>
            </w:r>
            <w:proofErr w:type="spellEnd"/>
          </w:p>
        </w:tc>
        <w:tc>
          <w:tcPr>
            <w:tcW w:w="2158" w:type="dxa"/>
          </w:tcPr>
          <w:p w14:paraId="1429715D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58" w:type="dxa"/>
          </w:tcPr>
          <w:p w14:paraId="14EEAB78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2158" w:type="dxa"/>
          </w:tcPr>
          <w:p w14:paraId="2334D44A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示例</w:t>
            </w:r>
          </w:p>
        </w:tc>
      </w:tr>
      <w:tr w:rsidR="00CD3080" w14:paraId="527E14D3" w14:textId="77777777">
        <w:trPr>
          <w:jc w:val="center"/>
        </w:trPr>
        <w:tc>
          <w:tcPr>
            <w:tcW w:w="2158" w:type="dxa"/>
          </w:tcPr>
          <w:p w14:paraId="50AFF7EE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主体编码</w:t>
            </w:r>
          </w:p>
        </w:tc>
        <w:tc>
          <w:tcPr>
            <w:tcW w:w="2158" w:type="dxa"/>
          </w:tcPr>
          <w:p w14:paraId="09C752C9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文本</w:t>
            </w:r>
          </w:p>
        </w:tc>
        <w:tc>
          <w:tcPr>
            <w:tcW w:w="2158" w:type="dxa"/>
          </w:tcPr>
          <w:p w14:paraId="3EBF9D05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存货持有</w:t>
            </w:r>
            <w:proofErr w:type="gramStart"/>
            <w:r>
              <w:rPr>
                <w:sz w:val="20"/>
                <w:lang w:eastAsia="zh-CN"/>
              </w:rPr>
              <w:t>方主体</w:t>
            </w:r>
            <w:proofErr w:type="gramEnd"/>
            <w:r>
              <w:rPr>
                <w:sz w:val="20"/>
                <w:lang w:eastAsia="zh-CN"/>
              </w:rPr>
              <w:t>唯一标识</w:t>
            </w:r>
          </w:p>
        </w:tc>
        <w:tc>
          <w:tcPr>
            <w:tcW w:w="2158" w:type="dxa"/>
          </w:tcPr>
          <w:p w14:paraId="57F7A4E7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S001</w:t>
            </w:r>
          </w:p>
        </w:tc>
      </w:tr>
      <w:tr w:rsidR="00CD3080" w14:paraId="44E0EF49" w14:textId="77777777">
        <w:trPr>
          <w:jc w:val="center"/>
        </w:trPr>
        <w:tc>
          <w:tcPr>
            <w:tcW w:w="2158" w:type="dxa"/>
          </w:tcPr>
          <w:p w14:paraId="49F1B380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存货批次号</w:t>
            </w:r>
          </w:p>
        </w:tc>
        <w:tc>
          <w:tcPr>
            <w:tcW w:w="2158" w:type="dxa"/>
          </w:tcPr>
          <w:p w14:paraId="58800EF7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文本</w:t>
            </w:r>
          </w:p>
        </w:tc>
        <w:tc>
          <w:tcPr>
            <w:tcW w:w="2158" w:type="dxa"/>
          </w:tcPr>
          <w:p w14:paraId="43CAEEED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关联销售明细表的</w:t>
            </w:r>
            <w:proofErr w:type="gramStart"/>
            <w:r>
              <w:rPr>
                <w:sz w:val="20"/>
                <w:lang w:eastAsia="zh-CN"/>
              </w:rPr>
              <w:t>批次号</w:t>
            </w:r>
            <w:proofErr w:type="gramEnd"/>
          </w:p>
        </w:tc>
        <w:tc>
          <w:tcPr>
            <w:tcW w:w="2158" w:type="dxa"/>
          </w:tcPr>
          <w:p w14:paraId="5B3CC1BA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B202605001</w:t>
            </w:r>
          </w:p>
        </w:tc>
      </w:tr>
      <w:tr w:rsidR="00CD3080" w14:paraId="07F45527" w14:textId="77777777">
        <w:trPr>
          <w:jc w:val="center"/>
        </w:trPr>
        <w:tc>
          <w:tcPr>
            <w:tcW w:w="2158" w:type="dxa"/>
          </w:tcPr>
          <w:p w14:paraId="0448A0E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期末结存数量</w:t>
            </w:r>
          </w:p>
        </w:tc>
        <w:tc>
          <w:tcPr>
            <w:tcW w:w="2158" w:type="dxa"/>
          </w:tcPr>
          <w:p w14:paraId="7150BE03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数值</w:t>
            </w:r>
          </w:p>
        </w:tc>
        <w:tc>
          <w:tcPr>
            <w:tcW w:w="2158" w:type="dxa"/>
          </w:tcPr>
          <w:p w14:paraId="419676F8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该批次期末尚未对外售出的数量</w:t>
            </w:r>
          </w:p>
        </w:tc>
        <w:tc>
          <w:tcPr>
            <w:tcW w:w="2158" w:type="dxa"/>
          </w:tcPr>
          <w:p w14:paraId="445EE7ED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70</w:t>
            </w:r>
          </w:p>
        </w:tc>
      </w:tr>
      <w:tr w:rsidR="00CD3080" w14:paraId="3C5054F1" w14:textId="77777777">
        <w:trPr>
          <w:jc w:val="center"/>
        </w:trPr>
        <w:tc>
          <w:tcPr>
            <w:tcW w:w="2158" w:type="dxa"/>
          </w:tcPr>
          <w:p w14:paraId="43737BC8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内部购入总数量</w:t>
            </w:r>
          </w:p>
        </w:tc>
        <w:tc>
          <w:tcPr>
            <w:tcW w:w="2158" w:type="dxa"/>
          </w:tcPr>
          <w:p w14:paraId="40606D7D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数值</w:t>
            </w:r>
          </w:p>
        </w:tc>
        <w:tc>
          <w:tcPr>
            <w:tcW w:w="2158" w:type="dxa"/>
          </w:tcPr>
          <w:p w14:paraId="4E553957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该批次最初内部购入的总数量</w:t>
            </w:r>
          </w:p>
        </w:tc>
        <w:tc>
          <w:tcPr>
            <w:tcW w:w="2158" w:type="dxa"/>
          </w:tcPr>
          <w:p w14:paraId="36858BC8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</w:t>
            </w:r>
          </w:p>
        </w:tc>
      </w:tr>
    </w:tbl>
    <w:p w14:paraId="70D780DB" w14:textId="77777777" w:rsidR="00CD3080" w:rsidRDefault="00CD3080">
      <w:pPr>
        <w:rPr>
          <w:rFonts w:hint="eastAsia"/>
        </w:rPr>
      </w:pPr>
    </w:p>
    <w:p w14:paraId="16775390" w14:textId="77777777" w:rsidR="00CD308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3.2 AI规则引擎——交易类型自动识别（SRS-F02）</w:t>
      </w:r>
    </w:p>
    <w:p w14:paraId="7ACD747B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系统读取股权关系配置表，构建母子公司关系图谱，对每笔内部交易自动判定交易类型。</w:t>
      </w:r>
    </w:p>
    <w:p w14:paraId="36FA833A" w14:textId="77777777" w:rsidR="00CD30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识别逻辑：</w:t>
      </w:r>
    </w:p>
    <w:p w14:paraId="43891B51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规则1：若销售方是购买方的母公司 → 顺流交易</w:t>
      </w:r>
    </w:p>
    <w:p w14:paraId="7DE9C4B2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规则2：若购买方是销售方的母公司 → 逆流交易</w:t>
      </w:r>
    </w:p>
    <w:p w14:paraId="0C2BCB71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规则3：若双方有共同母公司 → 平流交易</w:t>
      </w:r>
    </w:p>
    <w:p w14:paraId="07285B63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规则4：无法判定 → 标记为未识别，提示用户确认</w:t>
      </w:r>
    </w:p>
    <w:p w14:paraId="32469452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少数股东比例提取规则：逆流交易和平流交易场景下，少数股东比例 = 1 - 母公司对销售方的持股比例。</w:t>
      </w:r>
    </w:p>
    <w:p w14:paraId="58B4DFD6" w14:textId="77777777" w:rsidR="00CD308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3.3 未实现利润自动计算引擎（SRS-F03）</w:t>
      </w:r>
    </w:p>
    <w:p w14:paraId="2DFBEA9D" w14:textId="77777777" w:rsidR="00CD30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核心公式：</w:t>
      </w:r>
    </w:p>
    <w:p w14:paraId="346442A8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毛利率 = (销售收入 - 销售成本) / 销售收入</w:t>
      </w:r>
    </w:p>
    <w:p w14:paraId="055DF4A9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lastRenderedPageBreak/>
        <w:t>未对外出售比例 = 期末结存数量 / 内部购入总数量</w:t>
      </w:r>
    </w:p>
    <w:p w14:paraId="007FB1C5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未实现利润 = 销售收入 * 毛利率 * 未对外出售比例</w:t>
      </w:r>
    </w:p>
    <w:p w14:paraId="3DD372C9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b/>
          <w:lang w:eastAsia="zh-CN"/>
        </w:rPr>
        <w:t>三种计算场景：</w:t>
      </w:r>
    </w:p>
    <w:p w14:paraId="73E766E7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场景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：期末全部未对外出售 → 未实现利润 = 收入 - 成本（全额抵消）。</w:t>
      </w:r>
    </w:p>
    <w:p w14:paraId="0F63A814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场景二：期末部分售出 → 仅抵消未售出部分对应的利润。</w:t>
      </w:r>
    </w:p>
    <w:p w14:paraId="7D33B9FD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场景三：</w:t>
      </w:r>
      <w:proofErr w:type="gramStart"/>
      <w:r>
        <w:rPr>
          <w:lang w:eastAsia="zh-CN"/>
        </w:rPr>
        <w:t>期末已</w:t>
      </w:r>
      <w:proofErr w:type="gramEnd"/>
      <w:r>
        <w:rPr>
          <w:lang w:eastAsia="zh-CN"/>
        </w:rPr>
        <w:t>全部售出 → 利润已实现，无需抵消，系统自动跳过。</w:t>
      </w:r>
    </w:p>
    <w:p w14:paraId="44731DFD" w14:textId="77777777" w:rsidR="00CD308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3.4 抵消分录自动生成（SRS-F04）</w:t>
      </w:r>
    </w:p>
    <w:p w14:paraId="0F524F26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系统预置三套分录模板，以JSON规则文件存储（</w:t>
      </w:r>
      <w:proofErr w:type="gramStart"/>
      <w:r>
        <w:rPr>
          <w:lang w:eastAsia="zh-CN"/>
        </w:rPr>
        <w:t>非硬编码</w:t>
      </w:r>
      <w:proofErr w:type="gramEnd"/>
      <w:r>
        <w:rPr>
          <w:lang w:eastAsia="zh-CN"/>
        </w:rPr>
        <w:t>），根据交易类型自动匹配。</w:t>
      </w:r>
    </w:p>
    <w:p w14:paraId="63B32F48" w14:textId="77777777" w:rsidR="00CD30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模板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>：顺流交易（母→子）——未实现利润全部归母</w:t>
      </w:r>
    </w:p>
    <w:p w14:paraId="6C29CC1F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借：营业收入          [销售收入 × 未出售比例]</w:t>
      </w:r>
    </w:p>
    <w:p w14:paraId="1A88C1D7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 xml:space="preserve">  贷：营业成本        [</w:t>
      </w:r>
      <w:proofErr w:type="gramStart"/>
      <w:r w:rsidRPr="00FF6427">
        <w:rPr>
          <w:szCs w:val="24"/>
          <w:lang w:eastAsia="zh-CN"/>
        </w:rPr>
        <w:t>倒挤差额</w:t>
      </w:r>
      <w:proofErr w:type="gramEnd"/>
      <w:r w:rsidRPr="00FF6427">
        <w:rPr>
          <w:szCs w:val="24"/>
          <w:lang w:eastAsia="zh-CN"/>
        </w:rPr>
        <w:t>]</w:t>
      </w:r>
    </w:p>
    <w:p w14:paraId="0B812342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 xml:space="preserve">  贷：存货            [未实现利润]</w:t>
      </w:r>
    </w:p>
    <w:p w14:paraId="74325FC2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借：递延所得税资产    [未实现利润 × 税率]</w:t>
      </w:r>
    </w:p>
    <w:p w14:paraId="4B908BF0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 xml:space="preserve">  贷：所得税费用      [同上]</w:t>
      </w:r>
    </w:p>
    <w:p w14:paraId="035556C6" w14:textId="77777777" w:rsidR="00CD30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模板二：逆流交易（子→母）——涉及少数股东</w:t>
      </w:r>
    </w:p>
    <w:p w14:paraId="7BEEA292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（与顺流相同的主分录）</w:t>
      </w:r>
    </w:p>
    <w:p w14:paraId="0CDFC789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>借：少数股东权益      [未实现利润 × (1-税率) × 少数股东比例]</w:t>
      </w:r>
    </w:p>
    <w:p w14:paraId="7FF68CFC" w14:textId="77777777" w:rsidR="00CD3080" w:rsidRPr="00FF6427" w:rsidRDefault="00000000">
      <w:pPr>
        <w:spacing w:after="0" w:line="240" w:lineRule="auto"/>
        <w:ind w:left="567"/>
        <w:rPr>
          <w:rFonts w:hint="eastAsia"/>
          <w:szCs w:val="24"/>
          <w:lang w:eastAsia="zh-CN"/>
        </w:rPr>
      </w:pPr>
      <w:r w:rsidRPr="00FF6427">
        <w:rPr>
          <w:szCs w:val="24"/>
          <w:lang w:eastAsia="zh-CN"/>
        </w:rPr>
        <w:t xml:space="preserve">  贷：少数股东损益    [同上]</w:t>
      </w:r>
    </w:p>
    <w:p w14:paraId="308BA4EC" w14:textId="77777777" w:rsidR="00CD3080" w:rsidRDefault="00000000">
      <w:pPr>
        <w:rPr>
          <w:rFonts w:hint="eastAsia"/>
        </w:rPr>
      </w:pPr>
      <w:proofErr w:type="spellStart"/>
      <w:r>
        <w:rPr>
          <w:b/>
        </w:rPr>
        <w:t>模板三：平流交易（子↔子</w:t>
      </w:r>
      <w:proofErr w:type="spellEnd"/>
      <w:r>
        <w:rPr>
          <w:b/>
        </w:rPr>
        <w:t>）——</w:t>
      </w:r>
      <w:proofErr w:type="spellStart"/>
      <w:r>
        <w:rPr>
          <w:b/>
        </w:rPr>
        <w:t>与逆流同理</w:t>
      </w:r>
      <w:proofErr w:type="spellEnd"/>
    </w:p>
    <w:p w14:paraId="7842B17F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分录模板以JSON配置文件存储，新增抵消场景只需增加配置条目，核心代码无需修改。这体现了"AI规则引擎"的设计理念——会计逻辑与程序代码解耦，规则即配置。</w:t>
      </w:r>
    </w:p>
    <w:p w14:paraId="31A04515" w14:textId="77777777" w:rsidR="00CD308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3.5 结果汇总与导出（SRS-F05）</w:t>
      </w:r>
    </w:p>
    <w:p w14:paraId="6C86F87D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系统提供汇总看板和导出功能。支持的导出格式：Excel（含汇总表 + 分录明细表）和PDF（含汇总表 + 分录明细 + 异常预警）。</w:t>
      </w:r>
    </w:p>
    <w:p w14:paraId="10F7C6A7" w14:textId="77777777" w:rsidR="00CD308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3.6 可追溯性——计算日志（SRS-F06）</w:t>
      </w:r>
    </w:p>
    <w:p w14:paraId="0C8CB63C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每笔抵消分录生成时，系统同步输出JSON格式计算日志，包含原始交易数据、分类依据、计算参数、生成的分录。日志使用SHA256</w:t>
      </w:r>
      <w:proofErr w:type="gramStart"/>
      <w:r>
        <w:rPr>
          <w:lang w:eastAsia="zh-CN"/>
        </w:rPr>
        <w:t>哈希链机制</w:t>
      </w:r>
      <w:proofErr w:type="gramEnd"/>
      <w:r>
        <w:rPr>
          <w:lang w:eastAsia="zh-CN"/>
        </w:rPr>
        <w:t>（每笔哈希含上一笔哈希），类似于区块链的简化版，确保计算过程不可篡改、可完整追溯。</w:t>
      </w:r>
    </w:p>
    <w:p w14:paraId="0D37CCCE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未来扩展：日志中的哈希字段预留了区块链存证接口。当企业后续</w:t>
      </w:r>
      <w:proofErr w:type="gramStart"/>
      <w:r>
        <w:rPr>
          <w:lang w:eastAsia="zh-CN"/>
        </w:rPr>
        <w:t>部署区</w:t>
      </w:r>
      <w:proofErr w:type="gramEnd"/>
      <w:r>
        <w:rPr>
          <w:lang w:eastAsia="zh-CN"/>
        </w:rPr>
        <w:t>块链服务时，可直接将哈希值上链，无需修改核心计算逻辑。</w:t>
      </w:r>
    </w:p>
    <w:p w14:paraId="30B8A65F" w14:textId="77777777" w:rsidR="00CD308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3.7 异常数据自动检测（SRS-F07）已实现</w:t>
      </w:r>
    </w:p>
    <w:p w14:paraId="36D35272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系统在数据上传后、抵消计算前，自动扫描数据中的异常情况并生成预警报告。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CD3080" w14:paraId="686060FB" w14:textId="77777777">
        <w:trPr>
          <w:jc w:val="center"/>
        </w:trPr>
        <w:tc>
          <w:tcPr>
            <w:tcW w:w="2878" w:type="dxa"/>
          </w:tcPr>
          <w:p w14:paraId="640EA146" w14:textId="77777777" w:rsidR="00CD308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异常类型</w:t>
            </w:r>
            <w:proofErr w:type="spellEnd"/>
          </w:p>
        </w:tc>
        <w:tc>
          <w:tcPr>
            <w:tcW w:w="2878" w:type="dxa"/>
          </w:tcPr>
          <w:p w14:paraId="204DEDAC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检测逻辑</w:t>
            </w:r>
          </w:p>
        </w:tc>
        <w:tc>
          <w:tcPr>
            <w:tcW w:w="2878" w:type="dxa"/>
          </w:tcPr>
          <w:p w14:paraId="68A3A0E5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系统行为</w:t>
            </w:r>
          </w:p>
        </w:tc>
      </w:tr>
      <w:tr w:rsidR="00CD3080" w14:paraId="50384758" w14:textId="77777777">
        <w:trPr>
          <w:jc w:val="center"/>
        </w:trPr>
        <w:tc>
          <w:tcPr>
            <w:tcW w:w="2878" w:type="dxa"/>
          </w:tcPr>
          <w:p w14:paraId="54757DAF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库存数据缺失</w:t>
            </w:r>
          </w:p>
        </w:tc>
        <w:tc>
          <w:tcPr>
            <w:tcW w:w="2878" w:type="dxa"/>
          </w:tcPr>
          <w:p w14:paraId="3A63901F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内部销售明细中的批次在存货结存表中无对应记录</w:t>
            </w:r>
          </w:p>
        </w:tc>
        <w:tc>
          <w:tcPr>
            <w:tcW w:w="2878" w:type="dxa"/>
          </w:tcPr>
          <w:p w14:paraId="189CBE2B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警告：可能已全部售出或数据缺失</w:t>
            </w:r>
          </w:p>
        </w:tc>
      </w:tr>
      <w:tr w:rsidR="00CD3080" w14:paraId="4203B738" w14:textId="77777777">
        <w:trPr>
          <w:jc w:val="center"/>
        </w:trPr>
        <w:tc>
          <w:tcPr>
            <w:tcW w:w="2878" w:type="dxa"/>
          </w:tcPr>
          <w:p w14:paraId="1A15DF00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毛利率异常</w:t>
            </w:r>
            <w:proofErr w:type="spellEnd"/>
          </w:p>
        </w:tc>
        <w:tc>
          <w:tcPr>
            <w:tcW w:w="2878" w:type="dxa"/>
          </w:tcPr>
          <w:p w14:paraId="5418C948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销售成本大于销售收入（负毛利）</w:t>
            </w:r>
          </w:p>
        </w:tc>
        <w:tc>
          <w:tcPr>
            <w:tcW w:w="2878" w:type="dxa"/>
          </w:tcPr>
          <w:p w14:paraId="55EEB788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警告：可能为亏损销售或数据录入错误</w:t>
            </w:r>
          </w:p>
        </w:tc>
      </w:tr>
      <w:tr w:rsidR="00CD3080" w14:paraId="293A60EE" w14:textId="77777777">
        <w:trPr>
          <w:jc w:val="center"/>
        </w:trPr>
        <w:tc>
          <w:tcPr>
            <w:tcW w:w="2878" w:type="dxa"/>
          </w:tcPr>
          <w:p w14:paraId="2398BEE1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股权关系缺失</w:t>
            </w:r>
            <w:proofErr w:type="spellEnd"/>
          </w:p>
        </w:tc>
        <w:tc>
          <w:tcPr>
            <w:tcW w:w="2878" w:type="dxa"/>
          </w:tcPr>
          <w:p w14:paraId="35DF87EB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交易双方均不在股权关系表中</w:t>
            </w:r>
          </w:p>
        </w:tc>
        <w:tc>
          <w:tcPr>
            <w:tcW w:w="2878" w:type="dxa"/>
          </w:tcPr>
          <w:p w14:paraId="5B6E1577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警告：无法判定交易类型</w:t>
            </w:r>
          </w:p>
        </w:tc>
      </w:tr>
      <w:tr w:rsidR="00CD3080" w14:paraId="4DC4356B" w14:textId="77777777">
        <w:trPr>
          <w:jc w:val="center"/>
        </w:trPr>
        <w:tc>
          <w:tcPr>
            <w:tcW w:w="2878" w:type="dxa"/>
          </w:tcPr>
          <w:p w14:paraId="3FA5571D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结存数据异常</w:t>
            </w:r>
            <w:proofErr w:type="spellEnd"/>
          </w:p>
        </w:tc>
        <w:tc>
          <w:tcPr>
            <w:tcW w:w="2878" w:type="dxa"/>
          </w:tcPr>
          <w:p w14:paraId="450BC668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期末结存数量大于内部购入总数量</w:t>
            </w:r>
          </w:p>
        </w:tc>
        <w:tc>
          <w:tcPr>
            <w:tcW w:w="2878" w:type="dxa"/>
          </w:tcPr>
          <w:p w14:paraId="6FC75992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警告：数据逻辑矛盾</w:t>
            </w:r>
            <w:proofErr w:type="spellEnd"/>
          </w:p>
        </w:tc>
      </w:tr>
    </w:tbl>
    <w:p w14:paraId="7B421B9D" w14:textId="77777777" w:rsidR="00CD3080" w:rsidRDefault="00CD3080">
      <w:pPr>
        <w:rPr>
          <w:rFonts w:hint="eastAsia"/>
        </w:rPr>
      </w:pPr>
    </w:p>
    <w:p w14:paraId="322A5CC2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异常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阻断计算流程，异常交易</w:t>
      </w:r>
      <w:proofErr w:type="gramStart"/>
      <w:r>
        <w:rPr>
          <w:lang w:eastAsia="zh-CN"/>
        </w:rPr>
        <w:t>仍参与</w:t>
      </w:r>
      <w:proofErr w:type="gramEnd"/>
      <w:r>
        <w:rPr>
          <w:lang w:eastAsia="zh-CN"/>
        </w:rPr>
        <w:t>抵消（按保守策略处理），所有异常汇总展示在仪表盘顶部并写入导出报告。</w:t>
      </w:r>
    </w:p>
    <w:p w14:paraId="1E3548BC" w14:textId="77777777" w:rsidR="00CD308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3.8 可视化仪表盘（SRS-F08）已实现</w:t>
      </w:r>
    </w:p>
    <w:p w14:paraId="7D3407FE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抵消计算完成后，系统提供可视化仪表盘，包括以下组件：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CD3080" w14:paraId="34D84159" w14:textId="77777777">
        <w:trPr>
          <w:jc w:val="center"/>
        </w:trPr>
        <w:tc>
          <w:tcPr>
            <w:tcW w:w="2878" w:type="dxa"/>
          </w:tcPr>
          <w:p w14:paraId="5023A837" w14:textId="77777777" w:rsidR="00CD308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组件</w:t>
            </w:r>
            <w:proofErr w:type="spellEnd"/>
          </w:p>
        </w:tc>
        <w:tc>
          <w:tcPr>
            <w:tcW w:w="2878" w:type="dxa"/>
          </w:tcPr>
          <w:p w14:paraId="02F91316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w="2878" w:type="dxa"/>
          </w:tcPr>
          <w:p w14:paraId="285DE2F3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技术</w:t>
            </w:r>
          </w:p>
        </w:tc>
      </w:tr>
      <w:tr w:rsidR="00CD3080" w14:paraId="78D857D1" w14:textId="77777777">
        <w:trPr>
          <w:jc w:val="center"/>
        </w:trPr>
        <w:tc>
          <w:tcPr>
            <w:tcW w:w="2878" w:type="dxa"/>
          </w:tcPr>
          <w:p w14:paraId="674FBF3B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KPI指标卡片</w:t>
            </w:r>
          </w:p>
        </w:tc>
        <w:tc>
          <w:tcPr>
            <w:tcW w:w="2878" w:type="dxa"/>
          </w:tcPr>
          <w:p w14:paraId="79683AB5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本期交易额、未实现利润总额、已抵消笔数、冲减存货、净利润影响</w:t>
            </w:r>
          </w:p>
        </w:tc>
        <w:tc>
          <w:tcPr>
            <w:tcW w:w="2878" w:type="dxa"/>
          </w:tcPr>
          <w:p w14:paraId="2EA130C2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Streamlit</w:t>
            </w:r>
            <w:proofErr w:type="spellEnd"/>
            <w:r>
              <w:rPr>
                <w:sz w:val="20"/>
              </w:rPr>
              <w:t xml:space="preserve"> metric</w:t>
            </w:r>
          </w:p>
        </w:tc>
      </w:tr>
      <w:tr w:rsidR="00CD3080" w14:paraId="6F969D77" w14:textId="77777777">
        <w:trPr>
          <w:jc w:val="center"/>
        </w:trPr>
        <w:tc>
          <w:tcPr>
            <w:tcW w:w="2878" w:type="dxa"/>
          </w:tcPr>
          <w:p w14:paraId="1EADE8DC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抵消金额构成图</w:t>
            </w:r>
          </w:p>
        </w:tc>
        <w:tc>
          <w:tcPr>
            <w:tcW w:w="2878" w:type="dxa"/>
          </w:tcPr>
          <w:p w14:paraId="10CB042F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冲减存货 / 递延所得税资产 / 少数股东权益的水平条形图</w:t>
            </w:r>
          </w:p>
        </w:tc>
        <w:tc>
          <w:tcPr>
            <w:tcW w:w="2878" w:type="dxa"/>
          </w:tcPr>
          <w:p w14:paraId="576C44C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Matplotlib</w:t>
            </w:r>
          </w:p>
        </w:tc>
      </w:tr>
      <w:tr w:rsidR="00CD3080" w14:paraId="238DDE31" w14:textId="77777777">
        <w:trPr>
          <w:jc w:val="center"/>
        </w:trPr>
        <w:tc>
          <w:tcPr>
            <w:tcW w:w="2878" w:type="dxa"/>
          </w:tcPr>
          <w:p w14:paraId="0023DA04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交易类型分布图</w:t>
            </w:r>
          </w:p>
        </w:tc>
        <w:tc>
          <w:tcPr>
            <w:tcW w:w="2878" w:type="dxa"/>
          </w:tcPr>
          <w:p w14:paraId="7A6F819F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顺流/逆流/平流</w:t>
            </w:r>
            <w:proofErr w:type="gramStart"/>
            <w:r>
              <w:rPr>
                <w:sz w:val="20"/>
                <w:lang w:eastAsia="zh-CN"/>
              </w:rPr>
              <w:t>各类未实现</w:t>
            </w:r>
            <w:proofErr w:type="gramEnd"/>
            <w:r>
              <w:rPr>
                <w:sz w:val="20"/>
                <w:lang w:eastAsia="zh-CN"/>
              </w:rPr>
              <w:t>利润占比</w:t>
            </w:r>
          </w:p>
        </w:tc>
        <w:tc>
          <w:tcPr>
            <w:tcW w:w="2878" w:type="dxa"/>
          </w:tcPr>
          <w:p w14:paraId="22CCBD7B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Matplotlib</w:t>
            </w:r>
          </w:p>
        </w:tc>
      </w:tr>
      <w:tr w:rsidR="00CD3080" w14:paraId="190A59E6" w14:textId="77777777">
        <w:trPr>
          <w:jc w:val="center"/>
        </w:trPr>
        <w:tc>
          <w:tcPr>
            <w:tcW w:w="2878" w:type="dxa"/>
          </w:tcPr>
          <w:p w14:paraId="1491D4B8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抵消前后对比表</w:t>
            </w:r>
          </w:p>
        </w:tc>
        <w:tc>
          <w:tcPr>
            <w:tcW w:w="2878" w:type="dxa"/>
          </w:tcPr>
          <w:p w14:paraId="399A654B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营业收入、营业成本、存货、递延所得税、净利润抵消前后变化</w:t>
            </w:r>
          </w:p>
        </w:tc>
        <w:tc>
          <w:tcPr>
            <w:tcW w:w="2878" w:type="dxa"/>
          </w:tcPr>
          <w:p w14:paraId="732CCEE7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Streamlit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</w:tr>
      <w:tr w:rsidR="00CD3080" w14:paraId="355B7210" w14:textId="77777777">
        <w:trPr>
          <w:jc w:val="center"/>
        </w:trPr>
        <w:tc>
          <w:tcPr>
            <w:tcW w:w="2878" w:type="dxa"/>
          </w:tcPr>
          <w:p w14:paraId="3D278846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抵消分录明细</w:t>
            </w:r>
          </w:p>
        </w:tc>
        <w:tc>
          <w:tcPr>
            <w:tcW w:w="2878" w:type="dxa"/>
          </w:tcPr>
          <w:p w14:paraId="30A3B65A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逐笔分录卡片，</w:t>
            </w:r>
            <w:proofErr w:type="gramStart"/>
            <w:r>
              <w:rPr>
                <w:sz w:val="20"/>
                <w:lang w:eastAsia="zh-CN"/>
              </w:rPr>
              <w:t>含计算</w:t>
            </w:r>
            <w:proofErr w:type="gramEnd"/>
            <w:r>
              <w:rPr>
                <w:sz w:val="20"/>
                <w:lang w:eastAsia="zh-CN"/>
              </w:rPr>
              <w:t>过程（毛利率、未售比例）</w:t>
            </w:r>
          </w:p>
        </w:tc>
        <w:tc>
          <w:tcPr>
            <w:tcW w:w="2878" w:type="dxa"/>
          </w:tcPr>
          <w:p w14:paraId="13977B22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Streamlit</w:t>
            </w:r>
            <w:proofErr w:type="spellEnd"/>
            <w:r>
              <w:rPr>
                <w:sz w:val="20"/>
              </w:rPr>
              <w:t xml:space="preserve"> expander</w:t>
            </w:r>
          </w:p>
        </w:tc>
      </w:tr>
    </w:tbl>
    <w:p w14:paraId="103397D2" w14:textId="77777777" w:rsidR="00CD3080" w:rsidRDefault="00CD3080">
      <w:pPr>
        <w:rPr>
          <w:rFonts w:hint="eastAsia"/>
        </w:rPr>
      </w:pPr>
    </w:p>
    <w:p w14:paraId="26541C1F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此外，系统还支持手动录入交易功能——无需Excel即可在Web界面直接填写单笔交易信息并添加到数据集，适用于演示时临时补充数据或测试边界场景。</w:t>
      </w:r>
    </w:p>
    <w:p w14:paraId="03C79A05" w14:textId="77777777" w:rsidR="00CD3080" w:rsidRDefault="00000000">
      <w:pPr>
        <w:pStyle w:val="1"/>
      </w:pPr>
      <w:r>
        <w:rPr>
          <w:rFonts w:ascii="黑体" w:eastAsia="黑体" w:hAnsi="黑体"/>
        </w:rPr>
        <w:t xml:space="preserve">4. V2.0 </w:t>
      </w:r>
      <w:proofErr w:type="spellStart"/>
      <w:r>
        <w:rPr>
          <w:rFonts w:ascii="黑体" w:eastAsia="黑体" w:hAnsi="黑体"/>
        </w:rPr>
        <w:t>技术方案</w:t>
      </w:r>
      <w:proofErr w:type="spellEnd"/>
    </w:p>
    <w:p w14:paraId="1B6C739B" w14:textId="77777777" w:rsidR="00CD3080" w:rsidRDefault="00000000">
      <w:pPr>
        <w:pStyle w:val="21"/>
      </w:pPr>
      <w:r>
        <w:rPr>
          <w:rFonts w:ascii="黑体" w:eastAsia="黑体" w:hAnsi="黑体"/>
        </w:rPr>
        <w:t>4.1 技术栈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CD3080" w14:paraId="6974DD67" w14:textId="77777777">
        <w:trPr>
          <w:jc w:val="center"/>
        </w:trPr>
        <w:tc>
          <w:tcPr>
            <w:tcW w:w="2878" w:type="dxa"/>
          </w:tcPr>
          <w:p w14:paraId="2A9BC738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w="2878" w:type="dxa"/>
          </w:tcPr>
          <w:p w14:paraId="353674E1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V2.0选型</w:t>
            </w:r>
          </w:p>
        </w:tc>
        <w:tc>
          <w:tcPr>
            <w:tcW w:w="2878" w:type="dxa"/>
          </w:tcPr>
          <w:p w14:paraId="052EA4CC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CD3080" w14:paraId="1C1033FB" w14:textId="77777777">
        <w:trPr>
          <w:jc w:val="center"/>
        </w:trPr>
        <w:tc>
          <w:tcPr>
            <w:tcW w:w="2878" w:type="dxa"/>
          </w:tcPr>
          <w:p w14:paraId="435EBA9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编程语言</w:t>
            </w:r>
          </w:p>
        </w:tc>
        <w:tc>
          <w:tcPr>
            <w:tcW w:w="2878" w:type="dxa"/>
          </w:tcPr>
          <w:p w14:paraId="24283A13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Python 3.11+</w:t>
            </w:r>
          </w:p>
        </w:tc>
        <w:tc>
          <w:tcPr>
            <w:tcW w:w="2878" w:type="dxa"/>
          </w:tcPr>
          <w:p w14:paraId="3648A5DF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财务计算生态成熟（pandas/openpyxl）</w:t>
            </w:r>
          </w:p>
        </w:tc>
      </w:tr>
      <w:tr w:rsidR="00CD3080" w14:paraId="01C5F374" w14:textId="77777777">
        <w:trPr>
          <w:jc w:val="center"/>
        </w:trPr>
        <w:tc>
          <w:tcPr>
            <w:tcW w:w="2878" w:type="dxa"/>
          </w:tcPr>
          <w:p w14:paraId="34A6E11A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Web框架</w:t>
            </w:r>
          </w:p>
        </w:tc>
        <w:tc>
          <w:tcPr>
            <w:tcW w:w="2878" w:type="dxa"/>
          </w:tcPr>
          <w:p w14:paraId="01166FC7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Streamlit</w:t>
            </w:r>
          </w:p>
        </w:tc>
        <w:tc>
          <w:tcPr>
            <w:tcW w:w="2878" w:type="dxa"/>
          </w:tcPr>
          <w:p w14:paraId="54CAC3CA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纯Python构建交互界面，无需前后端分离</w:t>
            </w:r>
          </w:p>
        </w:tc>
      </w:tr>
      <w:tr w:rsidR="00CD3080" w14:paraId="7B7288E6" w14:textId="77777777">
        <w:trPr>
          <w:jc w:val="center"/>
        </w:trPr>
        <w:tc>
          <w:tcPr>
            <w:tcW w:w="2878" w:type="dxa"/>
          </w:tcPr>
          <w:p w14:paraId="22196AA1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数据存储</w:t>
            </w:r>
          </w:p>
        </w:tc>
        <w:tc>
          <w:tcPr>
            <w:tcW w:w="2878" w:type="dxa"/>
          </w:tcPr>
          <w:p w14:paraId="441C72E4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SQLite</w:t>
            </w:r>
          </w:p>
        </w:tc>
        <w:tc>
          <w:tcPr>
            <w:tcW w:w="2878" w:type="dxa"/>
          </w:tcPr>
          <w:p w14:paraId="12705B7D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零配置本地数据库，计算日志持久化</w:t>
            </w:r>
          </w:p>
        </w:tc>
      </w:tr>
      <w:tr w:rsidR="00CD3080" w14:paraId="2BF85F1A" w14:textId="77777777">
        <w:trPr>
          <w:jc w:val="center"/>
        </w:trPr>
        <w:tc>
          <w:tcPr>
            <w:tcW w:w="2878" w:type="dxa"/>
          </w:tcPr>
          <w:p w14:paraId="73FACC1F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计算引擎</w:t>
            </w:r>
            <w:proofErr w:type="spellEnd"/>
          </w:p>
        </w:tc>
        <w:tc>
          <w:tcPr>
            <w:tcW w:w="2878" w:type="dxa"/>
          </w:tcPr>
          <w:p w14:paraId="7775C91B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Python + JSON规则配置</w:t>
            </w:r>
          </w:p>
        </w:tc>
        <w:tc>
          <w:tcPr>
            <w:tcW w:w="2878" w:type="dxa"/>
          </w:tcPr>
          <w:p w14:paraId="7CB0F6C8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抵消规则以JSON配置存储，体现规则引擎思想</w:t>
            </w:r>
          </w:p>
        </w:tc>
      </w:tr>
      <w:tr w:rsidR="00CD3080" w14:paraId="36EE971A" w14:textId="77777777">
        <w:trPr>
          <w:jc w:val="center"/>
        </w:trPr>
        <w:tc>
          <w:tcPr>
            <w:tcW w:w="2878" w:type="dxa"/>
          </w:tcPr>
          <w:p w14:paraId="72653971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图表</w:t>
            </w:r>
            <w:proofErr w:type="spellEnd"/>
          </w:p>
        </w:tc>
        <w:tc>
          <w:tcPr>
            <w:tcW w:w="2878" w:type="dxa"/>
          </w:tcPr>
          <w:p w14:paraId="30598B74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Matplotlib</w:t>
            </w:r>
          </w:p>
        </w:tc>
        <w:tc>
          <w:tcPr>
            <w:tcW w:w="2878" w:type="dxa"/>
          </w:tcPr>
          <w:p w14:paraId="7647AE17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水平条形图，中文标签正常显示</w:t>
            </w:r>
          </w:p>
        </w:tc>
      </w:tr>
      <w:tr w:rsidR="00CD3080" w14:paraId="3E97CF9D" w14:textId="77777777">
        <w:trPr>
          <w:jc w:val="center"/>
        </w:trPr>
        <w:tc>
          <w:tcPr>
            <w:tcW w:w="2878" w:type="dxa"/>
          </w:tcPr>
          <w:p w14:paraId="7A2785E7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Excel处理</w:t>
            </w:r>
            <w:proofErr w:type="spellEnd"/>
          </w:p>
        </w:tc>
        <w:tc>
          <w:tcPr>
            <w:tcW w:w="2878" w:type="dxa"/>
          </w:tcPr>
          <w:p w14:paraId="5948D75E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openpyxl / pandas</w:t>
            </w:r>
          </w:p>
        </w:tc>
        <w:tc>
          <w:tcPr>
            <w:tcW w:w="2878" w:type="dxa"/>
          </w:tcPr>
          <w:p w14:paraId="5A7B1314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读写Excel模板</w:t>
            </w:r>
          </w:p>
        </w:tc>
      </w:tr>
      <w:tr w:rsidR="00CD3080" w14:paraId="3D712720" w14:textId="77777777">
        <w:trPr>
          <w:jc w:val="center"/>
        </w:trPr>
        <w:tc>
          <w:tcPr>
            <w:tcW w:w="2878" w:type="dxa"/>
          </w:tcPr>
          <w:p w14:paraId="6104A2B5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PDF生成</w:t>
            </w:r>
          </w:p>
        </w:tc>
        <w:tc>
          <w:tcPr>
            <w:tcW w:w="2878" w:type="dxa"/>
          </w:tcPr>
          <w:p w14:paraId="09E2F07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ReportLab</w:t>
            </w:r>
          </w:p>
        </w:tc>
        <w:tc>
          <w:tcPr>
            <w:tcW w:w="2878" w:type="dxa"/>
          </w:tcPr>
          <w:p w14:paraId="622EEE19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抵消分录报告导出（中文支持）</w:t>
            </w:r>
          </w:p>
        </w:tc>
      </w:tr>
    </w:tbl>
    <w:p w14:paraId="38F6BBA2" w14:textId="77777777" w:rsidR="00CD3080" w:rsidRDefault="00CD3080">
      <w:pPr>
        <w:rPr>
          <w:rFonts w:hint="eastAsia"/>
          <w:lang w:eastAsia="zh-CN"/>
        </w:rPr>
      </w:pPr>
    </w:p>
    <w:p w14:paraId="6C891ADA" w14:textId="77777777" w:rsidR="00CD3080" w:rsidRDefault="00000000">
      <w:pPr>
        <w:pStyle w:val="21"/>
      </w:pPr>
      <w:r>
        <w:rPr>
          <w:rFonts w:ascii="黑体" w:eastAsia="黑体" w:hAnsi="黑体"/>
        </w:rPr>
        <w:lastRenderedPageBreak/>
        <w:t xml:space="preserve">4.2 </w:t>
      </w:r>
      <w:proofErr w:type="spellStart"/>
      <w:r>
        <w:rPr>
          <w:rFonts w:ascii="黑体" w:eastAsia="黑体" w:hAnsi="黑体"/>
        </w:rPr>
        <w:t>选型说明</w:t>
      </w:r>
      <w:proofErr w:type="spellEnd"/>
    </w:p>
    <w:p w14:paraId="62D817B4" w14:textId="77777777" w:rsidR="00CD3080" w:rsidRDefault="00000000">
      <w:pPr>
        <w:ind w:firstLine="480"/>
        <w:rPr>
          <w:rFonts w:hint="eastAsia"/>
        </w:rPr>
      </w:pPr>
      <w:r>
        <w:t>V2.0选择Python + Streamlit而非Java企业级架构，原因如下：</w:t>
      </w:r>
    </w:p>
    <w:p w14:paraId="17122DA2" w14:textId="77777777" w:rsidR="00CD3080" w:rsidRDefault="00000000">
      <w:pPr>
        <w:rPr>
          <w:rFonts w:hint="eastAsia"/>
        </w:rPr>
      </w:pPr>
      <w:r>
        <w:t>1. 开发效率：模块化Python代码可在1-2天内完成原型，Java企业级架构需要至少1-2周。</w:t>
      </w:r>
    </w:p>
    <w:p w14:paraId="2F6D6024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2. 演示效果：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>的Web界面可直接演示，无需额外部署。</w:t>
      </w:r>
    </w:p>
    <w:p w14:paraId="120E1913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3. 评审友好：老师可以直接运行并查看结果，无需配置数据库和中间件。</w:t>
      </w:r>
    </w:p>
    <w:p w14:paraId="41E4B921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4. 核心逻辑等价：抵消计算的核心算法（规则引擎+分录生成）与Java实现完全一致，架构思想可平移。</w:t>
      </w:r>
    </w:p>
    <w:p w14:paraId="7E9F0EE9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V2.0的目标是让抵消</w:t>
      </w:r>
      <w:proofErr w:type="gramStart"/>
      <w:r>
        <w:rPr>
          <w:lang w:eastAsia="zh-CN"/>
        </w:rPr>
        <w:t>分录跑</w:t>
      </w:r>
      <w:proofErr w:type="gramEnd"/>
      <w:r>
        <w:rPr>
          <w:lang w:eastAsia="zh-CN"/>
        </w:rPr>
        <w:t>起来，让老师看到核心算法正确且完整。企业级架构留作文档中的未来扩展描述。</w:t>
      </w:r>
    </w:p>
    <w:p w14:paraId="370BFE60" w14:textId="77777777" w:rsidR="00CD308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4.3 系统架构（V2.0 模块化）</w:t>
      </w:r>
    </w:p>
    <w:p w14:paraId="622A7AEB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项目采用模块化架构，各模块职责单一、可独立测试。</w:t>
      </w:r>
    </w:p>
    <w:p w14:paraId="12BA859B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>project/</w:t>
      </w:r>
    </w:p>
    <w:p w14:paraId="18A444EE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 xml:space="preserve">  app.py                 Streamlit</w:t>
      </w:r>
      <w:r>
        <w:rPr>
          <w:rFonts w:ascii="Consolas" w:hAnsi="Consolas"/>
          <w:sz w:val="18"/>
        </w:rPr>
        <w:t>主界面（仪表盘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交互）</w:t>
      </w:r>
    </w:p>
    <w:p w14:paraId="70F52C16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 xml:space="preserve">  rules.json             AI</w:t>
      </w:r>
      <w:r>
        <w:rPr>
          <w:rFonts w:ascii="Consolas" w:hAnsi="Consolas"/>
          <w:sz w:val="18"/>
        </w:rPr>
        <w:t>规则引擎配置</w:t>
      </w:r>
    </w:p>
    <w:p w14:paraId="08A928BA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 xml:space="preserve">  engine/                </w:t>
      </w:r>
      <w:r>
        <w:rPr>
          <w:rFonts w:ascii="Consolas" w:hAnsi="Consolas"/>
          <w:sz w:val="18"/>
        </w:rPr>
        <w:t>核心计算引擎</w:t>
      </w:r>
    </w:p>
    <w:p w14:paraId="5C8C2E3A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 xml:space="preserve">    trade_classifier.py  </w:t>
      </w:r>
      <w:r>
        <w:rPr>
          <w:rFonts w:ascii="Consolas" w:hAnsi="Consolas"/>
          <w:sz w:val="18"/>
        </w:rPr>
        <w:t>交易类型分类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异常检测</w:t>
      </w:r>
    </w:p>
    <w:p w14:paraId="08D64BED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 xml:space="preserve">    calc_engine.py       </w:t>
      </w:r>
      <w:r>
        <w:rPr>
          <w:rFonts w:ascii="Consolas" w:hAnsi="Consolas"/>
          <w:sz w:val="18"/>
        </w:rPr>
        <w:t>未实现利润计算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汇总统计</w:t>
      </w:r>
    </w:p>
    <w:p w14:paraId="202B894F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 xml:space="preserve">    entry_generator.py   </w:t>
      </w:r>
      <w:r>
        <w:rPr>
          <w:rFonts w:ascii="Consolas" w:hAnsi="Consolas"/>
          <w:sz w:val="18"/>
        </w:rPr>
        <w:t>抵消分录生成（</w:t>
      </w:r>
      <w:r>
        <w:rPr>
          <w:rFonts w:ascii="Consolas" w:hAnsi="Consolas"/>
          <w:sz w:val="18"/>
        </w:rPr>
        <w:t>JSON</w:t>
      </w:r>
      <w:r>
        <w:rPr>
          <w:rFonts w:ascii="Consolas" w:hAnsi="Consolas"/>
          <w:sz w:val="18"/>
        </w:rPr>
        <w:t>规则驱动）</w:t>
      </w:r>
    </w:p>
    <w:p w14:paraId="413F56BE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 xml:space="preserve">  utils/                 </w:t>
      </w:r>
      <w:r>
        <w:rPr>
          <w:rFonts w:ascii="Consolas" w:hAnsi="Consolas"/>
          <w:sz w:val="18"/>
        </w:rPr>
        <w:t>工具模块</w:t>
      </w:r>
    </w:p>
    <w:p w14:paraId="35EF95F5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 xml:space="preserve">    hash_utils.py        SHA256</w:t>
      </w:r>
      <w:r>
        <w:rPr>
          <w:rFonts w:ascii="Consolas" w:hAnsi="Consolas"/>
          <w:sz w:val="18"/>
        </w:rPr>
        <w:t>哈希链（可追溯）</w:t>
      </w:r>
    </w:p>
    <w:p w14:paraId="4358B72A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 xml:space="preserve">    pdf_export.py        PDF</w:t>
      </w:r>
      <w:r>
        <w:rPr>
          <w:rFonts w:ascii="Consolas" w:hAnsi="Consolas"/>
          <w:sz w:val="18"/>
        </w:rPr>
        <w:t>报告导出（中文支持）</w:t>
      </w:r>
    </w:p>
    <w:p w14:paraId="3D7793F5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 xml:space="preserve">  templates/             Excel</w:t>
      </w:r>
      <w:r>
        <w:rPr>
          <w:rFonts w:ascii="Consolas" w:hAnsi="Consolas"/>
          <w:sz w:val="18"/>
        </w:rPr>
        <w:t>模板（含示例数据）</w:t>
      </w:r>
    </w:p>
    <w:p w14:paraId="2F7405B5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 xml:space="preserve">  data/                  SQLite</w:t>
      </w:r>
      <w:r>
        <w:rPr>
          <w:rFonts w:ascii="Consolas" w:hAnsi="Consolas"/>
          <w:sz w:val="18"/>
        </w:rPr>
        <w:t>数据库（日志持久化）</w:t>
      </w:r>
    </w:p>
    <w:p w14:paraId="110BB338" w14:textId="77777777" w:rsidR="00CD3080" w:rsidRDefault="00000000">
      <w:pPr>
        <w:ind w:firstLine="480"/>
        <w:rPr>
          <w:rFonts w:hint="eastAsia"/>
        </w:rPr>
      </w:pPr>
      <w:r>
        <w:t>模块化设计优势：各模块职责单一、可独立测试、可替换。新增交易类型只需修改rules.json，无需改动核心代码。</w:t>
      </w:r>
    </w:p>
    <w:p w14:paraId="08E7233E" w14:textId="77777777" w:rsidR="00CD3080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5. 接口设计</w:t>
      </w:r>
    </w:p>
    <w:p w14:paraId="263FC855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V2.0不涉及外部系统API对接，所有数据通过Excel文件导入。系统内部模块接口如下：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CD3080" w14:paraId="4A4600C5" w14:textId="77777777">
        <w:trPr>
          <w:jc w:val="center"/>
        </w:trPr>
        <w:tc>
          <w:tcPr>
            <w:tcW w:w="2878" w:type="dxa"/>
          </w:tcPr>
          <w:p w14:paraId="77F5314D" w14:textId="77777777" w:rsidR="00CD308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lastRenderedPageBreak/>
              <w:t>模块</w:t>
            </w:r>
            <w:proofErr w:type="spellEnd"/>
          </w:p>
        </w:tc>
        <w:tc>
          <w:tcPr>
            <w:tcW w:w="2878" w:type="dxa"/>
          </w:tcPr>
          <w:p w14:paraId="147161AB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w="2878" w:type="dxa"/>
          </w:tcPr>
          <w:p w14:paraId="5CBC98FD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输出</w:t>
            </w:r>
          </w:p>
        </w:tc>
      </w:tr>
      <w:tr w:rsidR="00CD3080" w14:paraId="7FD9742B" w14:textId="77777777">
        <w:trPr>
          <w:jc w:val="center"/>
        </w:trPr>
        <w:tc>
          <w:tcPr>
            <w:tcW w:w="2878" w:type="dxa"/>
          </w:tcPr>
          <w:p w14:paraId="7A985DC1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数据校验模块</w:t>
            </w:r>
          </w:p>
        </w:tc>
        <w:tc>
          <w:tcPr>
            <w:tcW w:w="2878" w:type="dxa"/>
          </w:tcPr>
          <w:p w14:paraId="4251AD4C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原始DataFrame</w:t>
            </w:r>
          </w:p>
        </w:tc>
        <w:tc>
          <w:tcPr>
            <w:tcW w:w="2878" w:type="dxa"/>
          </w:tcPr>
          <w:p w14:paraId="527223EF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校验通过/失败 + 错误列表</w:t>
            </w:r>
          </w:p>
        </w:tc>
      </w:tr>
      <w:tr w:rsidR="00CD3080" w14:paraId="44CEA685" w14:textId="77777777">
        <w:trPr>
          <w:jc w:val="center"/>
        </w:trPr>
        <w:tc>
          <w:tcPr>
            <w:tcW w:w="2878" w:type="dxa"/>
          </w:tcPr>
          <w:p w14:paraId="544A887C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类型识别模块</w:t>
            </w:r>
            <w:proofErr w:type="spellEnd"/>
          </w:p>
        </w:tc>
        <w:tc>
          <w:tcPr>
            <w:tcW w:w="2878" w:type="dxa"/>
          </w:tcPr>
          <w:p w14:paraId="4A62E86B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交易明细 + 股权关系</w:t>
            </w:r>
          </w:p>
        </w:tc>
        <w:tc>
          <w:tcPr>
            <w:tcW w:w="2878" w:type="dxa"/>
          </w:tcPr>
          <w:p w14:paraId="4F7B35E0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交易类型标签（顺流/逆流/平流）</w:t>
            </w:r>
          </w:p>
        </w:tc>
      </w:tr>
      <w:tr w:rsidR="00CD3080" w14:paraId="46F9188E" w14:textId="77777777">
        <w:trPr>
          <w:jc w:val="center"/>
        </w:trPr>
        <w:tc>
          <w:tcPr>
            <w:tcW w:w="2878" w:type="dxa"/>
          </w:tcPr>
          <w:p w14:paraId="46D7157B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利润计算模块</w:t>
            </w:r>
            <w:proofErr w:type="spellEnd"/>
          </w:p>
        </w:tc>
        <w:tc>
          <w:tcPr>
            <w:tcW w:w="2878" w:type="dxa"/>
          </w:tcPr>
          <w:p w14:paraId="445FEF5E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交易明细 + 结存数据</w:t>
            </w:r>
          </w:p>
        </w:tc>
        <w:tc>
          <w:tcPr>
            <w:tcW w:w="2878" w:type="dxa"/>
          </w:tcPr>
          <w:p w14:paraId="2F6EC144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未实现利润金额</w:t>
            </w:r>
          </w:p>
        </w:tc>
      </w:tr>
      <w:tr w:rsidR="00CD3080" w14:paraId="61DE4261" w14:textId="77777777">
        <w:trPr>
          <w:jc w:val="center"/>
        </w:trPr>
        <w:tc>
          <w:tcPr>
            <w:tcW w:w="2878" w:type="dxa"/>
          </w:tcPr>
          <w:p w14:paraId="5D2FEB08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分录生成模块</w:t>
            </w:r>
          </w:p>
        </w:tc>
        <w:tc>
          <w:tcPr>
            <w:tcW w:w="2878" w:type="dxa"/>
          </w:tcPr>
          <w:p w14:paraId="12587DE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未实现利润 + 交易类型</w:t>
            </w:r>
          </w:p>
        </w:tc>
        <w:tc>
          <w:tcPr>
            <w:tcW w:w="2878" w:type="dxa"/>
          </w:tcPr>
          <w:p w14:paraId="67E1F0C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抵消分录JSON</w:t>
            </w:r>
          </w:p>
        </w:tc>
      </w:tr>
      <w:tr w:rsidR="00CD3080" w14:paraId="55D96347" w14:textId="77777777">
        <w:trPr>
          <w:jc w:val="center"/>
        </w:trPr>
        <w:tc>
          <w:tcPr>
            <w:tcW w:w="2878" w:type="dxa"/>
          </w:tcPr>
          <w:p w14:paraId="26A55F67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导出模块</w:t>
            </w:r>
          </w:p>
        </w:tc>
        <w:tc>
          <w:tcPr>
            <w:tcW w:w="2878" w:type="dxa"/>
          </w:tcPr>
          <w:p w14:paraId="3149B5EE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抵消分录列表</w:t>
            </w:r>
          </w:p>
        </w:tc>
        <w:tc>
          <w:tcPr>
            <w:tcW w:w="2878" w:type="dxa"/>
          </w:tcPr>
          <w:p w14:paraId="73D5382F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Excel/PDF文件</w:t>
            </w:r>
          </w:p>
        </w:tc>
      </w:tr>
    </w:tbl>
    <w:p w14:paraId="0FC26C8B" w14:textId="77777777" w:rsidR="00CD3080" w:rsidRDefault="00CD3080">
      <w:pPr>
        <w:rPr>
          <w:rFonts w:hint="eastAsia"/>
        </w:rPr>
      </w:pPr>
    </w:p>
    <w:p w14:paraId="30CACA7E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未来扩展预留接口：RESTful API对接T10智慧核算引擎（自动获取账簿数据）、T05主数据管理（自动获取股权关系）、T33区块链服务（抵消过程哈希上链）、T21会计穿透监管（抵消数据查询）。</w:t>
      </w:r>
    </w:p>
    <w:p w14:paraId="6EC70DE0" w14:textId="77777777" w:rsidR="00CD3080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6. 数据模型</w:t>
      </w:r>
    </w:p>
    <w:p w14:paraId="656C3CDD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系统使用SQLite存储股权关系配置和计算日志。核心数据表设计如下：</w:t>
      </w:r>
    </w:p>
    <w:p w14:paraId="0467D91C" w14:textId="77777777" w:rsidR="00CD30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股权配置表（</w:t>
      </w:r>
      <w:proofErr w:type="spellStart"/>
      <w:r>
        <w:rPr>
          <w:b/>
          <w:lang w:eastAsia="zh-CN"/>
        </w:rPr>
        <w:t>equity_config</w:t>
      </w:r>
      <w:proofErr w:type="spellEnd"/>
      <w:r>
        <w:rPr>
          <w:b/>
          <w:lang w:eastAsia="zh-CN"/>
        </w:rPr>
        <w:t>）：</w:t>
      </w:r>
    </w:p>
    <w:p w14:paraId="1F00AD17" w14:textId="77777777" w:rsidR="00CD3080" w:rsidRDefault="00000000">
      <w:pPr>
        <w:spacing w:after="0" w:line="240" w:lineRule="auto"/>
        <w:ind w:left="567"/>
        <w:rPr>
          <w:rFonts w:hint="eastAsia"/>
          <w:lang w:eastAsia="zh-CN"/>
        </w:rPr>
      </w:pPr>
      <w:proofErr w:type="spellStart"/>
      <w:r>
        <w:rPr>
          <w:rFonts w:ascii="Consolas" w:hAnsi="Consolas"/>
          <w:sz w:val="18"/>
          <w:lang w:eastAsia="zh-CN"/>
        </w:rPr>
        <w:t>parent_code</w:t>
      </w:r>
      <w:proofErr w:type="spellEnd"/>
      <w:r>
        <w:rPr>
          <w:rFonts w:ascii="Consolas" w:hAnsi="Consolas"/>
          <w:sz w:val="18"/>
          <w:lang w:eastAsia="zh-CN"/>
        </w:rPr>
        <w:t xml:space="preserve"> TEXT    </w:t>
      </w:r>
      <w:r>
        <w:rPr>
          <w:rFonts w:ascii="Consolas" w:hAnsi="Consolas"/>
          <w:sz w:val="18"/>
          <w:lang w:eastAsia="zh-CN"/>
        </w:rPr>
        <w:t>母公司编码</w:t>
      </w:r>
    </w:p>
    <w:p w14:paraId="77FCFB62" w14:textId="77777777" w:rsidR="00CD3080" w:rsidRDefault="00000000">
      <w:pPr>
        <w:spacing w:after="0" w:line="240" w:lineRule="auto"/>
        <w:ind w:left="567"/>
        <w:rPr>
          <w:rFonts w:hint="eastAsia"/>
          <w:lang w:eastAsia="zh-CN"/>
        </w:rPr>
      </w:pPr>
      <w:proofErr w:type="spellStart"/>
      <w:r>
        <w:rPr>
          <w:rFonts w:ascii="Consolas" w:hAnsi="Consolas"/>
          <w:sz w:val="18"/>
          <w:lang w:eastAsia="zh-CN"/>
        </w:rPr>
        <w:t>child_code</w:t>
      </w:r>
      <w:proofErr w:type="spellEnd"/>
      <w:r>
        <w:rPr>
          <w:rFonts w:ascii="Consolas" w:hAnsi="Consolas"/>
          <w:sz w:val="18"/>
          <w:lang w:eastAsia="zh-CN"/>
        </w:rPr>
        <w:t xml:space="preserve"> TEXT     </w:t>
      </w:r>
      <w:r>
        <w:rPr>
          <w:rFonts w:ascii="Consolas" w:hAnsi="Consolas"/>
          <w:sz w:val="18"/>
          <w:lang w:eastAsia="zh-CN"/>
        </w:rPr>
        <w:t>子公司编码</w:t>
      </w:r>
    </w:p>
    <w:p w14:paraId="3F44C900" w14:textId="77777777" w:rsidR="00CD3080" w:rsidRDefault="00000000">
      <w:pPr>
        <w:spacing w:after="0" w:line="240" w:lineRule="auto"/>
        <w:ind w:left="567"/>
        <w:rPr>
          <w:rFonts w:hint="eastAsia"/>
          <w:lang w:eastAsia="zh-CN"/>
        </w:rPr>
      </w:pPr>
      <w:proofErr w:type="spellStart"/>
      <w:r>
        <w:rPr>
          <w:rFonts w:ascii="Consolas" w:hAnsi="Consolas"/>
          <w:sz w:val="18"/>
          <w:lang w:eastAsia="zh-CN"/>
        </w:rPr>
        <w:t>share_ratio</w:t>
      </w:r>
      <w:proofErr w:type="spellEnd"/>
      <w:r>
        <w:rPr>
          <w:rFonts w:ascii="Consolas" w:hAnsi="Consolas"/>
          <w:sz w:val="18"/>
          <w:lang w:eastAsia="zh-CN"/>
        </w:rPr>
        <w:t xml:space="preserve"> REAL    </w:t>
      </w:r>
      <w:r>
        <w:rPr>
          <w:rFonts w:ascii="Consolas" w:hAnsi="Consolas"/>
          <w:sz w:val="18"/>
          <w:lang w:eastAsia="zh-CN"/>
        </w:rPr>
        <w:t>母公司持股比例</w:t>
      </w:r>
    </w:p>
    <w:p w14:paraId="4CDFDC24" w14:textId="77777777" w:rsidR="00CD3080" w:rsidRDefault="00000000">
      <w:pPr>
        <w:spacing w:after="0" w:line="240" w:lineRule="auto"/>
        <w:ind w:left="567"/>
        <w:rPr>
          <w:rFonts w:hint="eastAsia"/>
          <w:lang w:eastAsia="zh-CN"/>
        </w:rPr>
      </w:pPr>
      <w:proofErr w:type="spellStart"/>
      <w:r>
        <w:rPr>
          <w:rFonts w:ascii="Consolas" w:hAnsi="Consolas"/>
          <w:sz w:val="18"/>
          <w:lang w:eastAsia="zh-CN"/>
        </w:rPr>
        <w:t>is_consolidated</w:t>
      </w:r>
      <w:proofErr w:type="spellEnd"/>
      <w:r>
        <w:rPr>
          <w:rFonts w:ascii="Consolas" w:hAnsi="Consolas"/>
          <w:sz w:val="18"/>
          <w:lang w:eastAsia="zh-CN"/>
        </w:rPr>
        <w:t xml:space="preserve"> INT </w:t>
      </w:r>
      <w:r>
        <w:rPr>
          <w:rFonts w:ascii="Consolas" w:hAnsi="Consolas"/>
          <w:sz w:val="18"/>
          <w:lang w:eastAsia="zh-CN"/>
        </w:rPr>
        <w:t>是否纳入合并</w:t>
      </w:r>
    </w:p>
    <w:p w14:paraId="430D346F" w14:textId="77777777" w:rsidR="00CD3080" w:rsidRDefault="00000000">
      <w:pPr>
        <w:rPr>
          <w:rFonts w:hint="eastAsia"/>
        </w:rPr>
      </w:pPr>
      <w:proofErr w:type="spellStart"/>
      <w:r>
        <w:rPr>
          <w:b/>
        </w:rPr>
        <w:t>计算日志表（calc_log</w:t>
      </w:r>
      <w:proofErr w:type="spellEnd"/>
      <w:r>
        <w:rPr>
          <w:b/>
        </w:rPr>
        <w:t>）：</w:t>
      </w:r>
    </w:p>
    <w:p w14:paraId="6CA15A9E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 xml:space="preserve">elim_no TEXT         </w:t>
      </w:r>
      <w:r>
        <w:rPr>
          <w:rFonts w:ascii="Consolas" w:hAnsi="Consolas"/>
          <w:sz w:val="18"/>
        </w:rPr>
        <w:t>分录编号</w:t>
      </w:r>
    </w:p>
    <w:p w14:paraId="051E4681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 xml:space="preserve">batch_id TEXT        </w:t>
      </w:r>
      <w:r>
        <w:rPr>
          <w:rFonts w:ascii="Consolas" w:hAnsi="Consolas"/>
          <w:sz w:val="18"/>
        </w:rPr>
        <w:t>批次</w:t>
      </w:r>
      <w:r>
        <w:rPr>
          <w:rFonts w:ascii="Consolas" w:hAnsi="Consolas"/>
          <w:sz w:val="18"/>
        </w:rPr>
        <w:t>ID</w:t>
      </w:r>
    </w:p>
    <w:p w14:paraId="758373F0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 xml:space="preserve">trade_json TEXT      </w:t>
      </w:r>
      <w:r>
        <w:rPr>
          <w:rFonts w:ascii="Consolas" w:hAnsi="Consolas"/>
          <w:sz w:val="18"/>
        </w:rPr>
        <w:t>交易数据快照（</w:t>
      </w:r>
      <w:r>
        <w:rPr>
          <w:rFonts w:ascii="Consolas" w:hAnsi="Consolas"/>
          <w:sz w:val="18"/>
        </w:rPr>
        <w:t>JSON</w:t>
      </w:r>
      <w:r>
        <w:rPr>
          <w:rFonts w:ascii="Consolas" w:hAnsi="Consolas"/>
          <w:sz w:val="18"/>
        </w:rPr>
        <w:t>）</w:t>
      </w:r>
    </w:p>
    <w:p w14:paraId="4F03BD6A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 xml:space="preserve">calc_json TEXT       </w:t>
      </w:r>
      <w:r>
        <w:rPr>
          <w:rFonts w:ascii="Consolas" w:hAnsi="Consolas"/>
          <w:sz w:val="18"/>
        </w:rPr>
        <w:t>计算参数快照（</w:t>
      </w:r>
      <w:r>
        <w:rPr>
          <w:rFonts w:ascii="Consolas" w:hAnsi="Consolas"/>
          <w:sz w:val="18"/>
        </w:rPr>
        <w:t>JSON</w:t>
      </w:r>
      <w:r>
        <w:rPr>
          <w:rFonts w:ascii="Consolas" w:hAnsi="Consolas"/>
          <w:sz w:val="18"/>
        </w:rPr>
        <w:t>）</w:t>
      </w:r>
    </w:p>
    <w:p w14:paraId="5D8675D4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 xml:space="preserve">entries_json TEXT    </w:t>
      </w:r>
      <w:r>
        <w:rPr>
          <w:rFonts w:ascii="Consolas" w:hAnsi="Consolas"/>
          <w:sz w:val="18"/>
        </w:rPr>
        <w:t>抵消分录快照（</w:t>
      </w:r>
      <w:r>
        <w:rPr>
          <w:rFonts w:ascii="Consolas" w:hAnsi="Consolas"/>
          <w:sz w:val="18"/>
        </w:rPr>
        <w:t>JSON</w:t>
      </w:r>
      <w:r>
        <w:rPr>
          <w:rFonts w:ascii="Consolas" w:hAnsi="Consolas"/>
          <w:sz w:val="18"/>
        </w:rPr>
        <w:t>）</w:t>
      </w:r>
    </w:p>
    <w:p w14:paraId="0A633C8E" w14:textId="77777777" w:rsidR="00CD3080" w:rsidRDefault="00000000">
      <w:pPr>
        <w:spacing w:after="0" w:line="240" w:lineRule="auto"/>
        <w:ind w:left="567"/>
        <w:rPr>
          <w:rFonts w:hint="eastAsia"/>
        </w:rPr>
      </w:pPr>
      <w:r>
        <w:rPr>
          <w:rFonts w:ascii="Consolas" w:hAnsi="Consolas"/>
          <w:sz w:val="18"/>
        </w:rPr>
        <w:t>log_hash TEXT        SHA256</w:t>
      </w:r>
      <w:r>
        <w:rPr>
          <w:rFonts w:ascii="Consolas" w:hAnsi="Consolas"/>
          <w:sz w:val="18"/>
        </w:rPr>
        <w:t>哈希值</w:t>
      </w:r>
    </w:p>
    <w:p w14:paraId="1C16D4B3" w14:textId="77777777" w:rsidR="00CD3080" w:rsidRDefault="00000000">
      <w:pPr>
        <w:ind w:firstLine="480"/>
        <w:rPr>
          <w:rFonts w:hint="eastAsia"/>
        </w:rPr>
      </w:pPr>
      <w:r>
        <w:t>抵消规则以JSON文件（rules.json）独立存储，包含三套分录模板（DOWN/UP/FLAT），每套模板定义主分录和少数股东分录的计算公式。</w:t>
      </w:r>
    </w:p>
    <w:p w14:paraId="32EAAAF3" w14:textId="77777777" w:rsidR="00CD3080" w:rsidRDefault="00000000">
      <w:pPr>
        <w:pStyle w:val="1"/>
      </w:pPr>
      <w:r>
        <w:rPr>
          <w:rFonts w:ascii="黑体" w:eastAsia="黑体" w:hAnsi="黑体"/>
        </w:rPr>
        <w:lastRenderedPageBreak/>
        <w:t>7. 非功能性需求</w:t>
      </w:r>
    </w:p>
    <w:p w14:paraId="6FACF089" w14:textId="77777777" w:rsidR="00CD3080" w:rsidRDefault="00000000">
      <w:pPr>
        <w:pStyle w:val="21"/>
      </w:pPr>
      <w:r>
        <w:rPr>
          <w:rFonts w:ascii="黑体" w:eastAsia="黑体" w:hAnsi="黑体"/>
        </w:rPr>
        <w:t>7.1 性能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7"/>
      </w:tblGrid>
      <w:tr w:rsidR="00CD3080" w14:paraId="6E3B4F87" w14:textId="77777777">
        <w:trPr>
          <w:jc w:val="center"/>
        </w:trPr>
        <w:tc>
          <w:tcPr>
            <w:tcW w:w="4317" w:type="dxa"/>
          </w:tcPr>
          <w:p w14:paraId="5894A3D1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w="4317" w:type="dxa"/>
          </w:tcPr>
          <w:p w14:paraId="595D6011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要求</w:t>
            </w:r>
          </w:p>
        </w:tc>
      </w:tr>
      <w:tr w:rsidR="00CD3080" w14:paraId="54336360" w14:textId="77777777">
        <w:trPr>
          <w:jc w:val="center"/>
        </w:trPr>
        <w:tc>
          <w:tcPr>
            <w:tcW w:w="4317" w:type="dxa"/>
          </w:tcPr>
          <w:p w14:paraId="7466E8B3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Excel导入</w:t>
            </w:r>
          </w:p>
        </w:tc>
        <w:tc>
          <w:tcPr>
            <w:tcW w:w="4317" w:type="dxa"/>
          </w:tcPr>
          <w:p w14:paraId="2AFA0235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1000行以内交易数据不超过5秒</w:t>
            </w:r>
          </w:p>
        </w:tc>
      </w:tr>
      <w:tr w:rsidR="00CD3080" w14:paraId="41CC99D3" w14:textId="77777777">
        <w:trPr>
          <w:jc w:val="center"/>
        </w:trPr>
        <w:tc>
          <w:tcPr>
            <w:tcW w:w="4317" w:type="dxa"/>
          </w:tcPr>
          <w:p w14:paraId="52783596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抵消计算</w:t>
            </w:r>
            <w:proofErr w:type="spellEnd"/>
          </w:p>
        </w:tc>
        <w:tc>
          <w:tcPr>
            <w:tcW w:w="4317" w:type="dxa"/>
          </w:tcPr>
          <w:p w14:paraId="68ACA1EB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100笔内部交易不超过3秒</w:t>
            </w:r>
          </w:p>
        </w:tc>
      </w:tr>
      <w:tr w:rsidR="00CD3080" w14:paraId="2BFCC216" w14:textId="77777777">
        <w:trPr>
          <w:jc w:val="center"/>
        </w:trPr>
        <w:tc>
          <w:tcPr>
            <w:tcW w:w="4317" w:type="dxa"/>
          </w:tcPr>
          <w:p w14:paraId="61360B3E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结果导出</w:t>
            </w:r>
          </w:p>
        </w:tc>
        <w:tc>
          <w:tcPr>
            <w:tcW w:w="4317" w:type="dxa"/>
          </w:tcPr>
          <w:p w14:paraId="715A3053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Excel和PDF均不超过5秒</w:t>
            </w:r>
          </w:p>
        </w:tc>
      </w:tr>
    </w:tbl>
    <w:p w14:paraId="1AAE890E" w14:textId="77777777" w:rsidR="00CD3080" w:rsidRDefault="00CD3080">
      <w:pPr>
        <w:rPr>
          <w:rFonts w:hint="eastAsia"/>
        </w:rPr>
      </w:pPr>
    </w:p>
    <w:p w14:paraId="34CCA75E" w14:textId="77777777" w:rsidR="00CD3080" w:rsidRDefault="00000000">
      <w:pPr>
        <w:pStyle w:val="21"/>
      </w:pPr>
      <w:r>
        <w:rPr>
          <w:rFonts w:ascii="黑体" w:eastAsia="黑体" w:hAnsi="黑体"/>
        </w:rPr>
        <w:t>7.2 可运行性</w:t>
      </w:r>
    </w:p>
    <w:p w14:paraId="2A3D8D5A" w14:textId="77777777" w:rsidR="00CD3080" w:rsidRDefault="00000000">
      <w:pPr>
        <w:ind w:firstLine="480"/>
        <w:rPr>
          <w:rFonts w:hint="eastAsia"/>
        </w:rPr>
      </w:pPr>
      <w:r>
        <w:rPr>
          <w:lang w:eastAsia="zh-CN"/>
        </w:rPr>
        <w:t>单机运行，无需数据库安装（SQLite内嵌）。</w:t>
      </w:r>
      <w:proofErr w:type="spellStart"/>
      <w:r>
        <w:t>通过</w:t>
      </w:r>
      <w:proofErr w:type="spellEnd"/>
      <w:r>
        <w:t xml:space="preserve"> pip install -r requirements.txt 一键安装依赖，通过 streamlit run app.py 一键启动。</w:t>
      </w:r>
    </w:p>
    <w:p w14:paraId="1664851F" w14:textId="77777777" w:rsidR="00CD3080" w:rsidRDefault="00000000">
      <w:pPr>
        <w:pStyle w:val="1"/>
      </w:pPr>
      <w:r>
        <w:rPr>
          <w:rFonts w:ascii="黑体" w:eastAsia="黑体" w:hAnsi="黑体"/>
        </w:rPr>
        <w:t>8. V2.0已实现 vs 未来扩展对照表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CD3080" w14:paraId="5278AC41" w14:textId="77777777">
        <w:trPr>
          <w:jc w:val="center"/>
        </w:trPr>
        <w:tc>
          <w:tcPr>
            <w:tcW w:w="2878" w:type="dxa"/>
          </w:tcPr>
          <w:p w14:paraId="2953BE6B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2878" w:type="dxa"/>
          </w:tcPr>
          <w:p w14:paraId="0CBCE5A4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V2.0</w:t>
            </w:r>
          </w:p>
        </w:tc>
        <w:tc>
          <w:tcPr>
            <w:tcW w:w="2878" w:type="dxa"/>
          </w:tcPr>
          <w:p w14:paraId="45C28517" w14:textId="77777777" w:rsidR="00CD308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V3.0+</w:t>
            </w:r>
          </w:p>
        </w:tc>
      </w:tr>
      <w:tr w:rsidR="00CD3080" w14:paraId="1F9A9B81" w14:textId="77777777">
        <w:trPr>
          <w:jc w:val="center"/>
        </w:trPr>
        <w:tc>
          <w:tcPr>
            <w:tcW w:w="2878" w:type="dxa"/>
          </w:tcPr>
          <w:p w14:paraId="7A751ED7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Excel模板上传</w:t>
            </w:r>
          </w:p>
        </w:tc>
        <w:tc>
          <w:tcPr>
            <w:tcW w:w="2878" w:type="dxa"/>
          </w:tcPr>
          <w:p w14:paraId="7A2D0727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  <w:tc>
          <w:tcPr>
            <w:tcW w:w="2878" w:type="dxa"/>
          </w:tcPr>
          <w:p w14:paraId="2C78567C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已实现（+API自动采集）</w:t>
            </w:r>
          </w:p>
        </w:tc>
      </w:tr>
      <w:tr w:rsidR="00CD3080" w14:paraId="7D479B69" w14:textId="77777777">
        <w:trPr>
          <w:jc w:val="center"/>
        </w:trPr>
        <w:tc>
          <w:tcPr>
            <w:tcW w:w="2878" w:type="dxa"/>
          </w:tcPr>
          <w:p w14:paraId="094C7025" w14:textId="77777777" w:rsidR="00CD308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顺流/逆流/平流自动识别</w:t>
            </w:r>
          </w:p>
        </w:tc>
        <w:tc>
          <w:tcPr>
            <w:tcW w:w="2878" w:type="dxa"/>
          </w:tcPr>
          <w:p w14:paraId="5476EB78" w14:textId="77777777" w:rsidR="00CD3080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已实现</w:t>
            </w:r>
            <w:proofErr w:type="spellEnd"/>
          </w:p>
        </w:tc>
        <w:tc>
          <w:tcPr>
            <w:tcW w:w="2878" w:type="dxa"/>
          </w:tcPr>
          <w:p w14:paraId="713444FD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</w:tr>
      <w:tr w:rsidR="00CD3080" w14:paraId="457E802F" w14:textId="77777777">
        <w:trPr>
          <w:jc w:val="center"/>
        </w:trPr>
        <w:tc>
          <w:tcPr>
            <w:tcW w:w="2878" w:type="dxa"/>
          </w:tcPr>
          <w:p w14:paraId="3F2214F0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未实现利润计算</w:t>
            </w:r>
          </w:p>
        </w:tc>
        <w:tc>
          <w:tcPr>
            <w:tcW w:w="2878" w:type="dxa"/>
          </w:tcPr>
          <w:p w14:paraId="198A1687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  <w:tc>
          <w:tcPr>
            <w:tcW w:w="2878" w:type="dxa"/>
          </w:tcPr>
          <w:p w14:paraId="618EFCA0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</w:tr>
      <w:tr w:rsidR="00CD3080" w14:paraId="79A6C904" w14:textId="77777777">
        <w:trPr>
          <w:jc w:val="center"/>
        </w:trPr>
        <w:tc>
          <w:tcPr>
            <w:tcW w:w="2878" w:type="dxa"/>
          </w:tcPr>
          <w:p w14:paraId="210860CB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抵消分录自动生成</w:t>
            </w:r>
          </w:p>
        </w:tc>
        <w:tc>
          <w:tcPr>
            <w:tcW w:w="2878" w:type="dxa"/>
          </w:tcPr>
          <w:p w14:paraId="59761DCB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  <w:tc>
          <w:tcPr>
            <w:tcW w:w="2878" w:type="dxa"/>
          </w:tcPr>
          <w:p w14:paraId="2361CA9E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</w:tr>
      <w:tr w:rsidR="00CD3080" w14:paraId="756683D4" w14:textId="77777777">
        <w:trPr>
          <w:jc w:val="center"/>
        </w:trPr>
        <w:tc>
          <w:tcPr>
            <w:tcW w:w="2878" w:type="dxa"/>
          </w:tcPr>
          <w:p w14:paraId="0E7A927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递延所得税自动计算</w:t>
            </w:r>
          </w:p>
        </w:tc>
        <w:tc>
          <w:tcPr>
            <w:tcW w:w="2878" w:type="dxa"/>
          </w:tcPr>
          <w:p w14:paraId="0F50D9C9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  <w:tc>
          <w:tcPr>
            <w:tcW w:w="2878" w:type="dxa"/>
          </w:tcPr>
          <w:p w14:paraId="2BBFBA9B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</w:tr>
      <w:tr w:rsidR="00CD3080" w14:paraId="51FCCE97" w14:textId="77777777">
        <w:trPr>
          <w:jc w:val="center"/>
        </w:trPr>
        <w:tc>
          <w:tcPr>
            <w:tcW w:w="2878" w:type="dxa"/>
          </w:tcPr>
          <w:p w14:paraId="78DC4CB4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少数股东损益分摊</w:t>
            </w:r>
          </w:p>
        </w:tc>
        <w:tc>
          <w:tcPr>
            <w:tcW w:w="2878" w:type="dxa"/>
          </w:tcPr>
          <w:p w14:paraId="36779CC9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  <w:tc>
          <w:tcPr>
            <w:tcW w:w="2878" w:type="dxa"/>
          </w:tcPr>
          <w:p w14:paraId="25C6AD8D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</w:tr>
      <w:tr w:rsidR="00CD3080" w14:paraId="6F3275E5" w14:textId="77777777">
        <w:trPr>
          <w:jc w:val="center"/>
        </w:trPr>
        <w:tc>
          <w:tcPr>
            <w:tcW w:w="2878" w:type="dxa"/>
          </w:tcPr>
          <w:p w14:paraId="6A8E64EC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Excel/PDF导出</w:t>
            </w:r>
          </w:p>
        </w:tc>
        <w:tc>
          <w:tcPr>
            <w:tcW w:w="2878" w:type="dxa"/>
          </w:tcPr>
          <w:p w14:paraId="73C2AB6A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  <w:tc>
          <w:tcPr>
            <w:tcW w:w="2878" w:type="dxa"/>
          </w:tcPr>
          <w:p w14:paraId="0E37011D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</w:tr>
      <w:tr w:rsidR="00CD3080" w14:paraId="6B3CA644" w14:textId="77777777">
        <w:trPr>
          <w:jc w:val="center"/>
        </w:trPr>
        <w:tc>
          <w:tcPr>
            <w:tcW w:w="2878" w:type="dxa"/>
          </w:tcPr>
          <w:p w14:paraId="7DE1D384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异常数据自动检测</w:t>
            </w:r>
          </w:p>
        </w:tc>
        <w:tc>
          <w:tcPr>
            <w:tcW w:w="2878" w:type="dxa"/>
          </w:tcPr>
          <w:p w14:paraId="5B7C5C9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  <w:tc>
          <w:tcPr>
            <w:tcW w:w="2878" w:type="dxa"/>
          </w:tcPr>
          <w:p w14:paraId="4CF8435A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</w:tr>
      <w:tr w:rsidR="00CD3080" w14:paraId="4FA4E9A5" w14:textId="77777777">
        <w:trPr>
          <w:jc w:val="center"/>
        </w:trPr>
        <w:tc>
          <w:tcPr>
            <w:tcW w:w="2878" w:type="dxa"/>
          </w:tcPr>
          <w:p w14:paraId="10C35EFD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可视化仪表盘</w:t>
            </w:r>
          </w:p>
        </w:tc>
        <w:tc>
          <w:tcPr>
            <w:tcW w:w="2878" w:type="dxa"/>
          </w:tcPr>
          <w:p w14:paraId="321FD31F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  <w:tc>
          <w:tcPr>
            <w:tcW w:w="2878" w:type="dxa"/>
          </w:tcPr>
          <w:p w14:paraId="09F3237B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</w:tr>
      <w:tr w:rsidR="00CD3080" w14:paraId="3D222D5A" w14:textId="77777777">
        <w:trPr>
          <w:jc w:val="center"/>
        </w:trPr>
        <w:tc>
          <w:tcPr>
            <w:tcW w:w="2878" w:type="dxa"/>
          </w:tcPr>
          <w:p w14:paraId="04A42F1E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手动录入交易</w:t>
            </w:r>
          </w:p>
        </w:tc>
        <w:tc>
          <w:tcPr>
            <w:tcW w:w="2878" w:type="dxa"/>
          </w:tcPr>
          <w:p w14:paraId="29B05303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  <w:tc>
          <w:tcPr>
            <w:tcW w:w="2878" w:type="dxa"/>
          </w:tcPr>
          <w:p w14:paraId="6C6D6E0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</w:tr>
      <w:tr w:rsidR="00CD3080" w14:paraId="0554BAF0" w14:textId="77777777">
        <w:trPr>
          <w:jc w:val="center"/>
        </w:trPr>
        <w:tc>
          <w:tcPr>
            <w:tcW w:w="2878" w:type="dxa"/>
          </w:tcPr>
          <w:p w14:paraId="63329B74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模块化架构</w:t>
            </w:r>
          </w:p>
        </w:tc>
        <w:tc>
          <w:tcPr>
            <w:tcW w:w="2878" w:type="dxa"/>
          </w:tcPr>
          <w:p w14:paraId="27828F1A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  <w:tc>
          <w:tcPr>
            <w:tcW w:w="2878" w:type="dxa"/>
          </w:tcPr>
          <w:p w14:paraId="56B8A9BE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</w:tr>
      <w:tr w:rsidR="00CD3080" w14:paraId="425AD341" w14:textId="77777777">
        <w:trPr>
          <w:jc w:val="center"/>
        </w:trPr>
        <w:tc>
          <w:tcPr>
            <w:tcW w:w="2878" w:type="dxa"/>
          </w:tcPr>
          <w:p w14:paraId="1E9445A8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个别计价法</w:t>
            </w:r>
          </w:p>
        </w:tc>
        <w:tc>
          <w:tcPr>
            <w:tcW w:w="2878" w:type="dxa"/>
          </w:tcPr>
          <w:p w14:paraId="394107E9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  <w:tc>
          <w:tcPr>
            <w:tcW w:w="2878" w:type="dxa"/>
          </w:tcPr>
          <w:p w14:paraId="0ED9533C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</w:tr>
      <w:tr w:rsidR="00CD3080" w14:paraId="592AAC1F" w14:textId="77777777">
        <w:trPr>
          <w:jc w:val="center"/>
        </w:trPr>
        <w:tc>
          <w:tcPr>
            <w:tcW w:w="2878" w:type="dxa"/>
          </w:tcPr>
          <w:p w14:paraId="31672FC4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先进先出法</w:t>
            </w:r>
          </w:p>
        </w:tc>
        <w:tc>
          <w:tcPr>
            <w:tcW w:w="2878" w:type="dxa"/>
          </w:tcPr>
          <w:p w14:paraId="5EA05329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  <w:tc>
          <w:tcPr>
            <w:tcW w:w="2878" w:type="dxa"/>
          </w:tcPr>
          <w:p w14:paraId="47A3276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已实现</w:t>
            </w:r>
          </w:p>
        </w:tc>
      </w:tr>
      <w:tr w:rsidR="00CD3080" w14:paraId="19ADB3FF" w14:textId="77777777">
        <w:trPr>
          <w:jc w:val="center"/>
        </w:trPr>
        <w:tc>
          <w:tcPr>
            <w:tcW w:w="2878" w:type="dxa"/>
          </w:tcPr>
          <w:p w14:paraId="551A1314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加权平均法</w:t>
            </w:r>
          </w:p>
        </w:tc>
        <w:tc>
          <w:tcPr>
            <w:tcW w:w="2878" w:type="dxa"/>
          </w:tcPr>
          <w:p w14:paraId="645ABCBB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未实现</w:t>
            </w:r>
          </w:p>
        </w:tc>
        <w:tc>
          <w:tcPr>
            <w:tcW w:w="2878" w:type="dxa"/>
          </w:tcPr>
          <w:p w14:paraId="0807434E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未来扩展</w:t>
            </w:r>
          </w:p>
        </w:tc>
      </w:tr>
      <w:tr w:rsidR="00CD3080" w14:paraId="6426F3EE" w14:textId="77777777">
        <w:trPr>
          <w:jc w:val="center"/>
        </w:trPr>
        <w:tc>
          <w:tcPr>
            <w:tcW w:w="2878" w:type="dxa"/>
          </w:tcPr>
          <w:p w14:paraId="37DEFB01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存货跌价准备抵消</w:t>
            </w:r>
          </w:p>
        </w:tc>
        <w:tc>
          <w:tcPr>
            <w:tcW w:w="2878" w:type="dxa"/>
          </w:tcPr>
          <w:p w14:paraId="00502624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未实现</w:t>
            </w:r>
          </w:p>
        </w:tc>
        <w:tc>
          <w:tcPr>
            <w:tcW w:w="2878" w:type="dxa"/>
          </w:tcPr>
          <w:p w14:paraId="1DD3DF37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未来扩展</w:t>
            </w:r>
          </w:p>
        </w:tc>
      </w:tr>
      <w:tr w:rsidR="00CD3080" w14:paraId="1C733891" w14:textId="77777777">
        <w:trPr>
          <w:jc w:val="center"/>
        </w:trPr>
        <w:tc>
          <w:tcPr>
            <w:tcW w:w="2878" w:type="dxa"/>
          </w:tcPr>
          <w:p w14:paraId="4568ED78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连续编报期初滚调</w:t>
            </w:r>
          </w:p>
        </w:tc>
        <w:tc>
          <w:tcPr>
            <w:tcW w:w="2878" w:type="dxa"/>
          </w:tcPr>
          <w:p w14:paraId="656ADFAC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未实现</w:t>
            </w:r>
          </w:p>
        </w:tc>
        <w:tc>
          <w:tcPr>
            <w:tcW w:w="2878" w:type="dxa"/>
          </w:tcPr>
          <w:p w14:paraId="5013A379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未来扩展</w:t>
            </w:r>
          </w:p>
        </w:tc>
      </w:tr>
      <w:tr w:rsidR="00CD3080" w14:paraId="11B1A2A9" w14:textId="77777777">
        <w:trPr>
          <w:jc w:val="center"/>
        </w:trPr>
        <w:tc>
          <w:tcPr>
            <w:tcW w:w="2878" w:type="dxa"/>
          </w:tcPr>
          <w:p w14:paraId="0B4DE3D4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多会计准则切换</w:t>
            </w:r>
          </w:p>
        </w:tc>
        <w:tc>
          <w:tcPr>
            <w:tcW w:w="2878" w:type="dxa"/>
          </w:tcPr>
          <w:p w14:paraId="4629E4A0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未实现</w:t>
            </w:r>
          </w:p>
        </w:tc>
        <w:tc>
          <w:tcPr>
            <w:tcW w:w="2878" w:type="dxa"/>
          </w:tcPr>
          <w:p w14:paraId="5034B932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未来扩展</w:t>
            </w:r>
          </w:p>
        </w:tc>
      </w:tr>
      <w:tr w:rsidR="00CD3080" w14:paraId="3636F528" w14:textId="77777777">
        <w:trPr>
          <w:jc w:val="center"/>
        </w:trPr>
        <w:tc>
          <w:tcPr>
            <w:tcW w:w="2878" w:type="dxa"/>
          </w:tcPr>
          <w:p w14:paraId="66B9EBA8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Java/Spring Boot微服务</w:t>
            </w:r>
          </w:p>
        </w:tc>
        <w:tc>
          <w:tcPr>
            <w:tcW w:w="2878" w:type="dxa"/>
          </w:tcPr>
          <w:p w14:paraId="05928A11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未实现</w:t>
            </w:r>
          </w:p>
        </w:tc>
        <w:tc>
          <w:tcPr>
            <w:tcW w:w="2878" w:type="dxa"/>
          </w:tcPr>
          <w:p w14:paraId="61C74F38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未来扩展</w:t>
            </w:r>
          </w:p>
        </w:tc>
      </w:tr>
      <w:tr w:rsidR="00CD3080" w14:paraId="02EB755F" w14:textId="77777777">
        <w:trPr>
          <w:jc w:val="center"/>
        </w:trPr>
        <w:tc>
          <w:tcPr>
            <w:tcW w:w="2878" w:type="dxa"/>
          </w:tcPr>
          <w:p w14:paraId="7567C2E4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区块链存证</w:t>
            </w:r>
          </w:p>
        </w:tc>
        <w:tc>
          <w:tcPr>
            <w:tcW w:w="2878" w:type="dxa"/>
          </w:tcPr>
          <w:p w14:paraId="28AC89FC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未实现</w:t>
            </w:r>
          </w:p>
        </w:tc>
        <w:tc>
          <w:tcPr>
            <w:tcW w:w="2878" w:type="dxa"/>
          </w:tcPr>
          <w:p w14:paraId="7E364469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未来扩展</w:t>
            </w:r>
          </w:p>
        </w:tc>
      </w:tr>
      <w:tr w:rsidR="00CD3080" w14:paraId="12824CC9" w14:textId="77777777">
        <w:trPr>
          <w:jc w:val="center"/>
        </w:trPr>
        <w:tc>
          <w:tcPr>
            <w:tcW w:w="2878" w:type="dxa"/>
          </w:tcPr>
          <w:p w14:paraId="1E026F7E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多系统API对接</w:t>
            </w:r>
          </w:p>
        </w:tc>
        <w:tc>
          <w:tcPr>
            <w:tcW w:w="2878" w:type="dxa"/>
          </w:tcPr>
          <w:p w14:paraId="5E7BEE2B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未实现</w:t>
            </w:r>
          </w:p>
        </w:tc>
        <w:tc>
          <w:tcPr>
            <w:tcW w:w="2878" w:type="dxa"/>
          </w:tcPr>
          <w:p w14:paraId="536CDDB5" w14:textId="77777777" w:rsidR="00CD308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未来扩展</w:t>
            </w:r>
          </w:p>
        </w:tc>
      </w:tr>
    </w:tbl>
    <w:p w14:paraId="2BC8814E" w14:textId="77777777" w:rsidR="00CD3080" w:rsidRDefault="00CD3080">
      <w:pPr>
        <w:rPr>
          <w:rFonts w:hint="eastAsia"/>
        </w:rPr>
      </w:pPr>
    </w:p>
    <w:p w14:paraId="46154F59" w14:textId="77777777" w:rsidR="00CD3080" w:rsidRDefault="00000000">
      <w:pPr>
        <w:pStyle w:val="1"/>
      </w:pPr>
      <w:r>
        <w:rPr>
          <w:rFonts w:ascii="黑体" w:eastAsia="黑体" w:hAnsi="黑体"/>
        </w:rPr>
        <w:t>附录A：完整计算示例</w:t>
      </w:r>
    </w:p>
    <w:p w14:paraId="3A91E425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场景：母公司P（持股子公司S 80%）向S销售A产品100件，售价100万元（1万/件），成本60万元。S期末将其中30件对外售出，70件仍为库存。所得税税率25%。</w:t>
      </w:r>
    </w:p>
    <w:p w14:paraId="09EA3EFB" w14:textId="77777777" w:rsidR="00CD30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步骤1：交易类型识别</w:t>
      </w:r>
    </w:p>
    <w:p w14:paraId="7A7EC6FF" w14:textId="77777777" w:rsidR="00CD3080" w:rsidRDefault="00000000">
      <w:pPr>
        <w:rPr>
          <w:rFonts w:hint="eastAsia"/>
          <w:lang w:eastAsia="zh-CN"/>
        </w:rPr>
      </w:pPr>
      <w:r>
        <w:rPr>
          <w:lang w:eastAsia="zh-CN"/>
        </w:rPr>
        <w:t>P001是S001的母公司 → 顺流交易。</w:t>
      </w:r>
    </w:p>
    <w:p w14:paraId="6CA51E18" w14:textId="77777777" w:rsidR="00CD30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步骤2：未实现利润计算</w:t>
      </w:r>
    </w:p>
    <w:p w14:paraId="1580697F" w14:textId="77777777" w:rsidR="00CD3080" w:rsidRDefault="00000000">
      <w:pPr>
        <w:spacing w:after="0" w:line="240" w:lineRule="auto"/>
        <w:ind w:left="567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毛利率</w:t>
      </w:r>
      <w:r>
        <w:rPr>
          <w:rFonts w:ascii="Consolas" w:hAnsi="Consolas"/>
          <w:sz w:val="18"/>
          <w:lang w:eastAsia="zh-CN"/>
        </w:rPr>
        <w:t xml:space="preserve"> = (1,000,000 - 600,000) / 1,000,000 = 40%</w:t>
      </w:r>
    </w:p>
    <w:p w14:paraId="7A5BDA77" w14:textId="77777777" w:rsidR="00CD3080" w:rsidRDefault="00000000">
      <w:pPr>
        <w:spacing w:after="0" w:line="240" w:lineRule="auto"/>
        <w:ind w:left="567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未出售比例</w:t>
      </w:r>
      <w:r>
        <w:rPr>
          <w:rFonts w:ascii="Consolas" w:hAnsi="Consolas"/>
          <w:sz w:val="18"/>
          <w:lang w:eastAsia="zh-CN"/>
        </w:rPr>
        <w:t xml:space="preserve"> = 70 / 100 = 70%</w:t>
      </w:r>
    </w:p>
    <w:p w14:paraId="30D90350" w14:textId="77777777" w:rsidR="00CD3080" w:rsidRDefault="00000000">
      <w:pPr>
        <w:spacing w:after="0" w:line="240" w:lineRule="auto"/>
        <w:ind w:left="567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未实现利润</w:t>
      </w:r>
      <w:r>
        <w:rPr>
          <w:rFonts w:ascii="Consolas" w:hAnsi="Consolas"/>
          <w:sz w:val="18"/>
          <w:lang w:eastAsia="zh-CN"/>
        </w:rPr>
        <w:t xml:space="preserve"> = 1,000,000 x 40% x 70% = 280,000 </w:t>
      </w:r>
      <w:r>
        <w:rPr>
          <w:rFonts w:ascii="Consolas" w:hAnsi="Consolas"/>
          <w:sz w:val="18"/>
          <w:lang w:eastAsia="zh-CN"/>
        </w:rPr>
        <w:t>元</w:t>
      </w:r>
    </w:p>
    <w:p w14:paraId="1060E61D" w14:textId="77777777" w:rsidR="00CD30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步骤3：抵消分录生成（顺流交易模板）</w:t>
      </w:r>
    </w:p>
    <w:p w14:paraId="70689609" w14:textId="77777777" w:rsidR="00CD3080" w:rsidRDefault="00000000">
      <w:pPr>
        <w:spacing w:after="0" w:line="240" w:lineRule="auto"/>
        <w:ind w:left="567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借：营业收入</w:t>
      </w:r>
      <w:r>
        <w:rPr>
          <w:rFonts w:ascii="Consolas" w:hAnsi="Consolas"/>
          <w:sz w:val="18"/>
          <w:lang w:eastAsia="zh-CN"/>
        </w:rPr>
        <w:t xml:space="preserve">                        700,000</w:t>
      </w:r>
    </w:p>
    <w:p w14:paraId="7750DD9D" w14:textId="77777777" w:rsidR="00CD3080" w:rsidRDefault="00000000">
      <w:pPr>
        <w:spacing w:after="0" w:line="240" w:lineRule="auto"/>
        <w:ind w:left="567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</w:t>
      </w:r>
      <w:r>
        <w:rPr>
          <w:rFonts w:ascii="Consolas" w:hAnsi="Consolas"/>
          <w:sz w:val="18"/>
          <w:lang w:eastAsia="zh-CN"/>
        </w:rPr>
        <w:t>贷：营业成本</w:t>
      </w:r>
      <w:r>
        <w:rPr>
          <w:rFonts w:ascii="Consolas" w:hAnsi="Consolas"/>
          <w:sz w:val="18"/>
          <w:lang w:eastAsia="zh-CN"/>
        </w:rPr>
        <w:t xml:space="preserve">                      420,000</w:t>
      </w:r>
    </w:p>
    <w:p w14:paraId="7452C419" w14:textId="77777777" w:rsidR="00CD3080" w:rsidRDefault="00000000">
      <w:pPr>
        <w:spacing w:after="0" w:line="240" w:lineRule="auto"/>
        <w:ind w:left="567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</w:t>
      </w:r>
      <w:r>
        <w:rPr>
          <w:rFonts w:ascii="Consolas" w:hAnsi="Consolas"/>
          <w:sz w:val="18"/>
          <w:lang w:eastAsia="zh-CN"/>
        </w:rPr>
        <w:t>贷：存货</w:t>
      </w:r>
      <w:r>
        <w:rPr>
          <w:rFonts w:ascii="Consolas" w:hAnsi="Consolas"/>
          <w:sz w:val="18"/>
          <w:lang w:eastAsia="zh-CN"/>
        </w:rPr>
        <w:t xml:space="preserve">                          280,000</w:t>
      </w:r>
    </w:p>
    <w:p w14:paraId="2639DADC" w14:textId="77777777" w:rsidR="00CD3080" w:rsidRDefault="00000000">
      <w:pPr>
        <w:spacing w:after="0" w:line="240" w:lineRule="auto"/>
        <w:ind w:left="567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借：递延所得税资产</w:t>
      </w:r>
      <w:r>
        <w:rPr>
          <w:rFonts w:ascii="Consolas" w:hAnsi="Consolas"/>
          <w:sz w:val="18"/>
          <w:lang w:eastAsia="zh-CN"/>
        </w:rPr>
        <w:t xml:space="preserve">                   70,000</w:t>
      </w:r>
    </w:p>
    <w:p w14:paraId="148DF36E" w14:textId="77777777" w:rsidR="00CD3080" w:rsidRDefault="00000000">
      <w:pPr>
        <w:spacing w:after="0" w:line="240" w:lineRule="auto"/>
        <w:ind w:left="567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</w:t>
      </w:r>
      <w:r>
        <w:rPr>
          <w:rFonts w:ascii="Consolas" w:hAnsi="Consolas"/>
          <w:sz w:val="18"/>
          <w:lang w:eastAsia="zh-CN"/>
        </w:rPr>
        <w:t>贷：所得税费用</w:t>
      </w:r>
      <w:r>
        <w:rPr>
          <w:rFonts w:ascii="Consolas" w:hAnsi="Consolas"/>
          <w:sz w:val="18"/>
          <w:lang w:eastAsia="zh-CN"/>
        </w:rPr>
        <w:t xml:space="preserve">                     70,000</w:t>
      </w:r>
    </w:p>
    <w:p w14:paraId="24C07DB5" w14:textId="77777777" w:rsidR="00CD3080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顺流交易不涉及少数股东分摊。合并净利润影响：-210,000元（归母）。</w:t>
      </w:r>
    </w:p>
    <w:p w14:paraId="07A34BD2" w14:textId="77777777" w:rsidR="00CD30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步骤4：系统输出</w:t>
      </w:r>
    </w:p>
    <w:p w14:paraId="1EA05A35" w14:textId="77777777" w:rsidR="00CD3080" w:rsidRDefault="00000000">
      <w:pPr>
        <w:ind w:firstLine="480"/>
        <w:rPr>
          <w:rFonts w:hint="eastAsia"/>
        </w:rPr>
      </w:pPr>
      <w:r>
        <w:rPr>
          <w:lang w:eastAsia="zh-CN"/>
        </w:rPr>
        <w:t>系统生成分录编号 ELIM-202605-0001，在Web界面以标准会计格式展示，同时生成JSON计算日志和SHA256哈希值。</w:t>
      </w:r>
      <w:proofErr w:type="spellStart"/>
      <w:r>
        <w:t>用户可导出Excel明细表和PDF报告</w:t>
      </w:r>
      <w:proofErr w:type="spellEnd"/>
      <w:r>
        <w:t>。</w:t>
      </w:r>
    </w:p>
    <w:sectPr w:rsidR="00CD3080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459994">
    <w:abstractNumId w:val="8"/>
  </w:num>
  <w:num w:numId="2" w16cid:durableId="1670867539">
    <w:abstractNumId w:val="6"/>
  </w:num>
  <w:num w:numId="3" w16cid:durableId="556209852">
    <w:abstractNumId w:val="5"/>
  </w:num>
  <w:num w:numId="4" w16cid:durableId="946228633">
    <w:abstractNumId w:val="4"/>
  </w:num>
  <w:num w:numId="5" w16cid:durableId="1296371762">
    <w:abstractNumId w:val="7"/>
  </w:num>
  <w:num w:numId="6" w16cid:durableId="1331523012">
    <w:abstractNumId w:val="3"/>
  </w:num>
  <w:num w:numId="7" w16cid:durableId="1160388053">
    <w:abstractNumId w:val="2"/>
  </w:num>
  <w:num w:numId="8" w16cid:durableId="1314138617">
    <w:abstractNumId w:val="1"/>
  </w:num>
  <w:num w:numId="9" w16cid:durableId="193478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4007"/>
    <w:rsid w:val="00AA1D8D"/>
    <w:rsid w:val="00B47730"/>
    <w:rsid w:val="00CB0664"/>
    <w:rsid w:val="00CD3080"/>
    <w:rsid w:val="00FC693F"/>
    <w:rsid w:val="00FF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3237A"/>
  <w14:defaultImageDpi w14:val="300"/>
  <w15:docId w15:val="{AC2CAD1F-95AA-4B60-B2AC-59EFB285D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3428</Words>
  <Characters>4251</Characters>
  <Application>Microsoft Office Word</Application>
  <DocSecurity>0</DocSecurity>
  <Lines>386</Lines>
  <Paragraphs>511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浩然 尚</cp:lastModifiedBy>
  <cp:revision>3</cp:revision>
  <dcterms:created xsi:type="dcterms:W3CDTF">2013-12-23T23:15:00Z</dcterms:created>
  <dcterms:modified xsi:type="dcterms:W3CDTF">2026-05-29T15:20:00Z</dcterms:modified>
  <cp:category/>
</cp:coreProperties>
</file>