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5BE" w:rsidRPr="009F224A" w:rsidRDefault="007C4886" w:rsidP="004E5983">
      <w:pPr>
        <w:jc w:val="center"/>
        <w:rPr>
          <w:b/>
          <w:color w:val="2E74B5" w:themeColor="accent1" w:themeShade="BF"/>
          <w:sz w:val="28"/>
          <w:szCs w:val="28"/>
        </w:rPr>
      </w:pPr>
      <w:r w:rsidRPr="009F224A">
        <w:rPr>
          <w:b/>
          <w:color w:val="2E74B5" w:themeColor="accent1" w:themeShade="BF"/>
          <w:sz w:val="28"/>
          <w:szCs w:val="28"/>
        </w:rPr>
        <w:t>Upgrade TLS 1.0 to TLS 1.1 or TLS 1.2</w:t>
      </w:r>
    </w:p>
    <w:p w:rsidR="00DB39C1" w:rsidRPr="009F224A" w:rsidRDefault="00DB39C1" w:rsidP="00DB39C1">
      <w:pPr>
        <w:rPr>
          <w:b/>
          <w:sz w:val="28"/>
          <w:szCs w:val="28"/>
        </w:rPr>
      </w:pPr>
      <w:r w:rsidRPr="009F224A">
        <w:rPr>
          <w:b/>
          <w:sz w:val="28"/>
          <w:szCs w:val="28"/>
        </w:rPr>
        <w:t>Critical Update from Salesforce:</w:t>
      </w:r>
    </w:p>
    <w:p w:rsidR="00DB39C1" w:rsidRDefault="00DB39C1">
      <w:r>
        <w:rPr>
          <w:noProof/>
        </w:rPr>
        <w:drawing>
          <wp:inline distT="0" distB="0" distL="0" distR="0" wp14:anchorId="358DB27F" wp14:editId="7CC4F964">
            <wp:extent cx="5943600" cy="251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460"/>
                    </a:xfrm>
                    <a:prstGeom prst="rect">
                      <a:avLst/>
                    </a:prstGeom>
                  </pic:spPr>
                </pic:pic>
              </a:graphicData>
            </a:graphic>
          </wp:inline>
        </w:drawing>
      </w:r>
    </w:p>
    <w:p w:rsidR="007C4886" w:rsidRDefault="004E5983">
      <w:r w:rsidRPr="004E5983">
        <w:t>Salesforce is requiring an upgrade to TLS 1.1 or higher by July 22, 2017 in order to align with industry best practices for security and data integrity. On that date we will begin disabling TLS 1.0. Action is required prior to this date to prevent any d</w:t>
      </w:r>
      <w:bookmarkStart w:id="0" w:name="_GoBack"/>
      <w:bookmarkEnd w:id="0"/>
      <w:r w:rsidRPr="004E5983">
        <w:t>isruption to your production instance</w:t>
      </w:r>
      <w:r>
        <w:t>.</w:t>
      </w:r>
    </w:p>
    <w:p w:rsidR="004E5983" w:rsidRDefault="004E5983">
      <w:r w:rsidRPr="004E5983">
        <w:t>After Salesforce disables TLS 1.0, any inbound connections to or outbound connections from your Salesforce org that rely on TLS 1.0 will fail. This will impact a number of Salesforce services (listed below), including access to websites including Salesforce Communities, Customer and Partner portals, Force.com sites and Site.com.</w:t>
      </w:r>
    </w:p>
    <w:tbl>
      <w:tblPr>
        <w:tblW w:w="9000" w:type="dxa"/>
        <w:shd w:val="clear" w:color="auto" w:fill="FFFFFF"/>
        <w:tblCellMar>
          <w:left w:w="0" w:type="dxa"/>
          <w:right w:w="0" w:type="dxa"/>
        </w:tblCellMar>
        <w:tblLook w:val="04A0" w:firstRow="1" w:lastRow="0" w:firstColumn="1" w:lastColumn="0" w:noHBand="0" w:noVBand="1"/>
      </w:tblPr>
      <w:tblGrid>
        <w:gridCol w:w="1729"/>
        <w:gridCol w:w="7271"/>
      </w:tblGrid>
      <w:tr w:rsidR="009F224A" w:rsidRPr="007A1128" w:rsidTr="00C6676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F224A" w:rsidRPr="009F224A" w:rsidRDefault="009F224A" w:rsidP="009F224A">
            <w:pPr>
              <w:spacing w:after="0" w:line="240" w:lineRule="auto"/>
            </w:pPr>
            <w:r w:rsidRPr="009F224A">
              <w:t>TLS Disablement in Sandbox orgs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F224A" w:rsidRPr="007A1128" w:rsidRDefault="009F224A" w:rsidP="009F224A">
            <w:pPr>
              <w:spacing w:after="0" w:line="240" w:lineRule="auto"/>
              <w:ind w:left="150"/>
              <w:textAlignment w:val="baseline"/>
            </w:pPr>
            <w:r w:rsidRPr="009F224A">
              <w:t>June 25, 2016</w:t>
            </w:r>
            <w:r>
              <w:t xml:space="preserve">, </w:t>
            </w:r>
            <w:r w:rsidRPr="007A1128">
              <w:t>After this dat</w:t>
            </w:r>
            <w:r>
              <w:t xml:space="preserve">e and time, all sandbox orgs </w:t>
            </w:r>
            <w:r w:rsidRPr="007A1128">
              <w:t>whether</w:t>
            </w:r>
            <w:r>
              <w:t xml:space="preserve"> existing, refreshed, or new </w:t>
            </w:r>
            <w:r w:rsidRPr="007A1128">
              <w:t>will have TLS 1.0 automatically disabled and will require TLS 1.1 or later in HTTPS connections to or from the sandbox org. The "Require TLS 1.1 or higher for HTTPS connections" CRUC setting will not be available.</w:t>
            </w:r>
          </w:p>
        </w:tc>
      </w:tr>
      <w:tr w:rsidR="009F224A" w:rsidRPr="007A1128" w:rsidTr="00C66766">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F224A" w:rsidRPr="007A1128" w:rsidRDefault="009F224A" w:rsidP="00C66766">
            <w:pPr>
              <w:spacing w:after="0" w:line="240" w:lineRule="auto"/>
            </w:pPr>
            <w:r>
              <w:t xml:space="preserve">TLS Disablement in </w:t>
            </w:r>
            <w:r w:rsidRPr="007A1128">
              <w:t>Production orgs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75" w:type="dxa"/>
              <w:left w:w="75" w:type="dxa"/>
              <w:bottom w:w="75" w:type="dxa"/>
              <w:right w:w="75" w:type="dxa"/>
            </w:tcMar>
            <w:vAlign w:val="bottom"/>
            <w:hideMark/>
          </w:tcPr>
          <w:p w:rsidR="009F224A" w:rsidRPr="007A1128" w:rsidRDefault="009F224A" w:rsidP="00C66766">
            <w:pPr>
              <w:spacing w:after="0" w:line="240" w:lineRule="auto"/>
              <w:ind w:left="150"/>
              <w:textAlignment w:val="baseline"/>
            </w:pPr>
            <w:r w:rsidRPr="007A1128">
              <w:t xml:space="preserve">Begins on </w:t>
            </w:r>
            <w:r w:rsidRPr="007A1128">
              <w:rPr>
                <w:b/>
              </w:rPr>
              <w:t>July 22, 2017</w:t>
            </w:r>
            <w:r>
              <w:t>.</w:t>
            </w:r>
            <w:r w:rsidRPr="007A1128">
              <w:t xml:space="preserve"> </w:t>
            </w:r>
          </w:p>
        </w:tc>
      </w:tr>
    </w:tbl>
    <w:p w:rsidR="009F224A" w:rsidRDefault="009F224A"/>
    <w:p w:rsidR="003B397A" w:rsidRPr="009F224A" w:rsidRDefault="003B397A">
      <w:pPr>
        <w:rPr>
          <w:b/>
          <w:sz w:val="28"/>
          <w:szCs w:val="28"/>
        </w:rPr>
      </w:pPr>
      <w:r w:rsidRPr="009F224A">
        <w:rPr>
          <w:b/>
          <w:sz w:val="28"/>
          <w:szCs w:val="28"/>
        </w:rPr>
        <w:t>Impacts with the Disablement of TLS 1.0</w:t>
      </w:r>
    </w:p>
    <w:tbl>
      <w:tblPr>
        <w:tblStyle w:val="TableGrid"/>
        <w:tblW w:w="0" w:type="auto"/>
        <w:tblLook w:val="04A0" w:firstRow="1" w:lastRow="0" w:firstColumn="1" w:lastColumn="0" w:noHBand="0" w:noVBand="1"/>
      </w:tblPr>
      <w:tblGrid>
        <w:gridCol w:w="2652"/>
        <w:gridCol w:w="2401"/>
        <w:gridCol w:w="4297"/>
      </w:tblGrid>
      <w:tr w:rsidR="00F6299A" w:rsidTr="00F6299A">
        <w:tc>
          <w:tcPr>
            <w:tcW w:w="3307" w:type="dxa"/>
          </w:tcPr>
          <w:p w:rsidR="00F6299A" w:rsidRPr="009F224A" w:rsidRDefault="00F6299A">
            <w:r w:rsidRPr="009F224A">
              <w:t>Impacted Channels</w:t>
            </w:r>
          </w:p>
        </w:tc>
        <w:tc>
          <w:tcPr>
            <w:tcW w:w="3169" w:type="dxa"/>
          </w:tcPr>
          <w:p w:rsidR="00F6299A" w:rsidRPr="009F224A" w:rsidRDefault="00F6299A">
            <w:r w:rsidRPr="009F224A">
              <w:t>Impact? Yes/ No</w:t>
            </w:r>
          </w:p>
        </w:tc>
        <w:tc>
          <w:tcPr>
            <w:tcW w:w="2874" w:type="dxa"/>
          </w:tcPr>
          <w:p w:rsidR="00F6299A" w:rsidRPr="009F224A" w:rsidRDefault="00F6299A">
            <w:r w:rsidRPr="009F224A">
              <w:t>Comments</w:t>
            </w:r>
          </w:p>
        </w:tc>
      </w:tr>
      <w:tr w:rsidR="00F6299A" w:rsidTr="00F6299A">
        <w:tc>
          <w:tcPr>
            <w:tcW w:w="3307" w:type="dxa"/>
          </w:tcPr>
          <w:p w:rsidR="00F6299A" w:rsidRDefault="00F6299A">
            <w:pPr>
              <w:rPr>
                <w:b/>
              </w:rPr>
            </w:pPr>
            <w:hyperlink r:id="rId6" w:anchor="InternetBrowsers" w:history="1">
              <w:r w:rsidRPr="004E5983">
                <w:rPr>
                  <w:color w:val="1F3864" w:themeColor="accent5" w:themeShade="80"/>
                </w:rPr>
                <w:t>Internet browsers</w:t>
              </w:r>
            </w:hyperlink>
          </w:p>
        </w:tc>
        <w:tc>
          <w:tcPr>
            <w:tcW w:w="3169" w:type="dxa"/>
          </w:tcPr>
          <w:p w:rsidR="00F6299A" w:rsidRPr="00DC7446" w:rsidRDefault="00F6299A">
            <w:r w:rsidRPr="00DC7446">
              <w:t>Yes</w:t>
            </w:r>
          </w:p>
        </w:tc>
        <w:tc>
          <w:tcPr>
            <w:tcW w:w="2874" w:type="dxa"/>
          </w:tcPr>
          <w:p w:rsidR="00F6299A" w:rsidRPr="00F6299A" w:rsidRDefault="00F6299A">
            <w:pPr>
              <w:rPr>
                <w:b/>
              </w:rPr>
            </w:pPr>
            <w:r>
              <w:t xml:space="preserve">Follow the following article to handle Browser related issues. To check the browser compatibility use the link </w:t>
            </w:r>
            <w:r w:rsidRPr="00205C43">
              <w:t>Open the link to test the browser compatibility to pass TLS</w:t>
            </w:r>
            <w:r>
              <w:t xml:space="preserve"> 1.1 or 1.2 check </w:t>
            </w:r>
            <w:hyperlink r:id="rId7" w:history="1">
              <w:r w:rsidRPr="00E571F6">
                <w:rPr>
                  <w:rStyle w:val="Hyperlink"/>
                </w:rPr>
                <w:t>https://tls1test.salesforce.com/</w:t>
              </w:r>
            </w:hyperlink>
          </w:p>
        </w:tc>
      </w:tr>
      <w:tr w:rsidR="00F6299A" w:rsidTr="00F6299A">
        <w:tc>
          <w:tcPr>
            <w:tcW w:w="3307" w:type="dxa"/>
          </w:tcPr>
          <w:p w:rsidR="00F6299A" w:rsidRDefault="00F6299A" w:rsidP="00DC7446">
            <w:pPr>
              <w:shd w:val="clear" w:color="auto" w:fill="FFFFFF"/>
              <w:textAlignment w:val="baseline"/>
              <w:rPr>
                <w:b/>
              </w:rPr>
            </w:pPr>
            <w:hyperlink r:id="rId8" w:anchor="Inboundintegrations" w:history="1">
              <w:r w:rsidRPr="004E5983">
                <w:rPr>
                  <w:color w:val="1F3864" w:themeColor="accent5" w:themeShade="80"/>
                </w:rPr>
                <w:t>API (inbound) integrations</w:t>
              </w:r>
            </w:hyperlink>
          </w:p>
        </w:tc>
        <w:tc>
          <w:tcPr>
            <w:tcW w:w="3169" w:type="dxa"/>
          </w:tcPr>
          <w:p w:rsidR="00F6299A" w:rsidRPr="00DC7446" w:rsidRDefault="00F6299A">
            <w:r w:rsidRPr="00DC7446">
              <w:t>Yes</w:t>
            </w:r>
          </w:p>
        </w:tc>
        <w:tc>
          <w:tcPr>
            <w:tcW w:w="2874" w:type="dxa"/>
          </w:tcPr>
          <w:p w:rsidR="002F4C6A" w:rsidRDefault="00F6299A">
            <w:r>
              <w:t>Inbound callouts (SOAP / REST)</w:t>
            </w:r>
            <w:r w:rsidR="002F4C6A">
              <w:t xml:space="preserve"> will be impacted.</w:t>
            </w:r>
          </w:p>
          <w:p w:rsidR="00F6299A" w:rsidRPr="00DC7446" w:rsidRDefault="00F6299A">
            <w:r>
              <w:t>to check the Compatibility of API client follow the article.</w:t>
            </w:r>
          </w:p>
        </w:tc>
      </w:tr>
      <w:tr w:rsidR="00F6299A" w:rsidTr="00F6299A">
        <w:tc>
          <w:tcPr>
            <w:tcW w:w="3307" w:type="dxa"/>
          </w:tcPr>
          <w:p w:rsidR="00F6299A" w:rsidRDefault="00F6299A" w:rsidP="00DC7446">
            <w:pPr>
              <w:shd w:val="clear" w:color="auto" w:fill="FFFFFF"/>
              <w:textAlignment w:val="baseline"/>
            </w:pPr>
            <w:hyperlink r:id="rId9" w:anchor="OutboundIntegrations" w:history="1">
              <w:r w:rsidRPr="004E5983">
                <w:rPr>
                  <w:color w:val="1F3864" w:themeColor="accent5" w:themeShade="80"/>
                </w:rPr>
                <w:t>Call-out (outbound) integrations</w:t>
              </w:r>
            </w:hyperlink>
          </w:p>
        </w:tc>
        <w:tc>
          <w:tcPr>
            <w:tcW w:w="3169" w:type="dxa"/>
          </w:tcPr>
          <w:p w:rsidR="00F6299A" w:rsidRPr="00DC7446" w:rsidRDefault="00F6299A">
            <w:r>
              <w:t>Yes</w:t>
            </w:r>
          </w:p>
        </w:tc>
        <w:tc>
          <w:tcPr>
            <w:tcW w:w="2874" w:type="dxa"/>
          </w:tcPr>
          <w:p w:rsidR="00F6299A" w:rsidRDefault="00F6299A">
            <w:r>
              <w:t>We need to make sure the other end</w:t>
            </w:r>
            <w:r w:rsidR="002F4C6A">
              <w:t xml:space="preserve">, where the services hosted to </w:t>
            </w:r>
            <w:r w:rsidR="002F4C6A" w:rsidRPr="002F4C6A">
              <w:t>support TLS 1.1 and TLS 1.2</w:t>
            </w:r>
            <w:r w:rsidR="002F4C6A">
              <w:t>.</w:t>
            </w:r>
          </w:p>
          <w:p w:rsidR="002F4C6A" w:rsidRPr="00DC7446" w:rsidRDefault="002F4C6A">
            <w:r>
              <w:t>To check the compatibility follow the article.</w:t>
            </w:r>
          </w:p>
        </w:tc>
      </w:tr>
      <w:tr w:rsidR="00F6299A" w:rsidTr="00F6299A">
        <w:tc>
          <w:tcPr>
            <w:tcW w:w="3307" w:type="dxa"/>
          </w:tcPr>
          <w:p w:rsidR="00F6299A" w:rsidRPr="009F224A" w:rsidRDefault="00A04266" w:rsidP="00DC7446">
            <w:pPr>
              <w:shd w:val="clear" w:color="auto" w:fill="FFFFFF"/>
              <w:textAlignment w:val="baseline"/>
              <w:rPr>
                <w:color w:val="1F3864" w:themeColor="accent5" w:themeShade="80"/>
              </w:rPr>
            </w:pPr>
            <w:r w:rsidRPr="009F224A">
              <w:rPr>
                <w:color w:val="1F3864" w:themeColor="accent5" w:themeShade="80"/>
              </w:rPr>
              <w:t>Partner Or Customer Portals</w:t>
            </w:r>
          </w:p>
        </w:tc>
        <w:tc>
          <w:tcPr>
            <w:tcW w:w="3169" w:type="dxa"/>
          </w:tcPr>
          <w:p w:rsidR="00F6299A" w:rsidRPr="00DC7446" w:rsidRDefault="00A04266">
            <w:r>
              <w:t>Yes</w:t>
            </w:r>
          </w:p>
        </w:tc>
        <w:tc>
          <w:tcPr>
            <w:tcW w:w="2874" w:type="dxa"/>
          </w:tcPr>
          <w:p w:rsidR="00F6299A" w:rsidRPr="00DC7446" w:rsidRDefault="00A04266">
            <w:r>
              <w:t>We are not Using</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Communities &amp; Sites</w:t>
            </w:r>
          </w:p>
        </w:tc>
        <w:tc>
          <w:tcPr>
            <w:tcW w:w="3169" w:type="dxa"/>
          </w:tcPr>
          <w:p w:rsidR="00A04266" w:rsidRDefault="00A04266">
            <w:r>
              <w:t>Yes</w:t>
            </w:r>
          </w:p>
        </w:tc>
        <w:tc>
          <w:tcPr>
            <w:tcW w:w="2874" w:type="dxa"/>
          </w:tcPr>
          <w:p w:rsidR="00A04266" w:rsidRDefault="00A04266" w:rsidP="009F224A">
            <w:r>
              <w:t xml:space="preserve">We </w:t>
            </w:r>
            <w:r w:rsidR="009F224A">
              <w:t>are not using</w:t>
            </w:r>
            <w:r>
              <w:t xml:space="preserve"> Communities and Sites</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Outlook Salesforce Sync</w:t>
            </w:r>
          </w:p>
        </w:tc>
        <w:tc>
          <w:tcPr>
            <w:tcW w:w="3169" w:type="dxa"/>
          </w:tcPr>
          <w:p w:rsidR="00A04266" w:rsidRDefault="00A04266">
            <w:r>
              <w:t>Yes</w:t>
            </w:r>
          </w:p>
        </w:tc>
        <w:tc>
          <w:tcPr>
            <w:tcW w:w="2874" w:type="dxa"/>
          </w:tcPr>
          <w:p w:rsidR="00A04266" w:rsidRDefault="00A04266">
            <w:r>
              <w:t>We are not Using</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Salesforce Mobile App</w:t>
            </w:r>
          </w:p>
        </w:tc>
        <w:tc>
          <w:tcPr>
            <w:tcW w:w="3169" w:type="dxa"/>
          </w:tcPr>
          <w:p w:rsidR="00A04266" w:rsidRDefault="00A04266">
            <w:r>
              <w:t>Yes</w:t>
            </w:r>
          </w:p>
        </w:tc>
        <w:tc>
          <w:tcPr>
            <w:tcW w:w="2874" w:type="dxa"/>
          </w:tcPr>
          <w:p w:rsidR="00A04266" w:rsidRDefault="00A04266">
            <w:r>
              <w:t>We are not Using</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lastRenderedPageBreak/>
              <w:t>Data Loader</w:t>
            </w:r>
          </w:p>
        </w:tc>
        <w:tc>
          <w:tcPr>
            <w:tcW w:w="3169" w:type="dxa"/>
          </w:tcPr>
          <w:p w:rsidR="00A04266" w:rsidRDefault="00A04266">
            <w:r>
              <w:t>Yes</w:t>
            </w:r>
          </w:p>
        </w:tc>
        <w:tc>
          <w:tcPr>
            <w:tcW w:w="2874" w:type="dxa"/>
          </w:tcPr>
          <w:p w:rsidR="00A04266" w:rsidRDefault="00A04266">
            <w:r>
              <w:t>To Support Data loader, customer would need to download newer version of Data loader</w:t>
            </w:r>
          </w:p>
          <w:p w:rsidR="00A04266" w:rsidRDefault="00A04266">
            <w:hyperlink r:id="rId10" w:history="1">
              <w:r w:rsidRPr="00E36D3C">
                <w:rPr>
                  <w:rStyle w:val="Hyperlink"/>
                </w:rPr>
                <w:t>https://releasenotes.docs.salesforce.com/en-us/spring16/release-notes/rn_forcecom_data_data_loader.htm</w:t>
              </w:r>
            </w:hyperlink>
          </w:p>
          <w:p w:rsidR="00A04266" w:rsidRDefault="00A04266">
            <w:r>
              <w:t xml:space="preserve"> </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CTI</w:t>
            </w:r>
          </w:p>
        </w:tc>
        <w:tc>
          <w:tcPr>
            <w:tcW w:w="3169" w:type="dxa"/>
          </w:tcPr>
          <w:p w:rsidR="00A04266" w:rsidRDefault="00A04266">
            <w:r>
              <w:t>Yes</w:t>
            </w:r>
          </w:p>
        </w:tc>
        <w:tc>
          <w:tcPr>
            <w:tcW w:w="2874" w:type="dxa"/>
          </w:tcPr>
          <w:p w:rsidR="00A04266" w:rsidRDefault="00A04266">
            <w:r>
              <w:t>We are not Using CTI Toolkit</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Chatter Desktop</w:t>
            </w:r>
          </w:p>
        </w:tc>
        <w:tc>
          <w:tcPr>
            <w:tcW w:w="3169" w:type="dxa"/>
          </w:tcPr>
          <w:p w:rsidR="00A04266" w:rsidRDefault="00A04266">
            <w:r>
              <w:t>Yes</w:t>
            </w:r>
          </w:p>
        </w:tc>
        <w:tc>
          <w:tcPr>
            <w:tcW w:w="2874" w:type="dxa"/>
          </w:tcPr>
          <w:p w:rsidR="00A04266" w:rsidRDefault="00A04266">
            <w:r>
              <w:t>We are not using, if any end users are using it they need to upgrade IE browser to support TLS 1.1 or higher.</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SSO</w:t>
            </w:r>
          </w:p>
        </w:tc>
        <w:tc>
          <w:tcPr>
            <w:tcW w:w="3169" w:type="dxa"/>
          </w:tcPr>
          <w:p w:rsidR="00A04266" w:rsidRDefault="00A04266">
            <w:r>
              <w:t>Yes</w:t>
            </w:r>
          </w:p>
        </w:tc>
        <w:tc>
          <w:tcPr>
            <w:tcW w:w="2874" w:type="dxa"/>
          </w:tcPr>
          <w:p w:rsidR="00A04266" w:rsidRDefault="00A04266">
            <w:r>
              <w:t>Users required to use compatible browsers TLS1.1 or Higher.</w:t>
            </w:r>
          </w:p>
        </w:tc>
      </w:tr>
      <w:tr w:rsidR="00A04266" w:rsidTr="00F6299A">
        <w:tc>
          <w:tcPr>
            <w:tcW w:w="3307" w:type="dxa"/>
          </w:tcPr>
          <w:p w:rsidR="00A04266" w:rsidRPr="009F224A" w:rsidRDefault="00A04266" w:rsidP="00DC7446">
            <w:pPr>
              <w:shd w:val="clear" w:color="auto" w:fill="FFFFFF"/>
              <w:textAlignment w:val="baseline"/>
              <w:rPr>
                <w:color w:val="1F3864" w:themeColor="accent5" w:themeShade="80"/>
              </w:rPr>
            </w:pPr>
            <w:r w:rsidRPr="009F224A">
              <w:rPr>
                <w:color w:val="1F3864" w:themeColor="accent5" w:themeShade="80"/>
              </w:rPr>
              <w:t>Force.com IDE and Force.com Migration Tools</w:t>
            </w:r>
          </w:p>
        </w:tc>
        <w:tc>
          <w:tcPr>
            <w:tcW w:w="3169" w:type="dxa"/>
          </w:tcPr>
          <w:p w:rsidR="00A04266" w:rsidRDefault="00A04266">
            <w:r>
              <w:t>Yes</w:t>
            </w:r>
          </w:p>
        </w:tc>
        <w:tc>
          <w:tcPr>
            <w:tcW w:w="2874" w:type="dxa"/>
          </w:tcPr>
          <w:p w:rsidR="00A04266" w:rsidRDefault="00A04266" w:rsidP="00A04266">
            <w:r>
              <w:t>Users need to upgrade to compatible TLS1.1 or higher.  Users using Java 8 will automatically get TLS1.1 enabled.</w:t>
            </w:r>
          </w:p>
        </w:tc>
      </w:tr>
    </w:tbl>
    <w:p w:rsidR="00DC7446" w:rsidRDefault="00DC7446">
      <w:pPr>
        <w:rPr>
          <w:b/>
        </w:rPr>
      </w:pPr>
    </w:p>
    <w:p w:rsidR="009F224A" w:rsidRPr="00205C43" w:rsidRDefault="009F224A" w:rsidP="009F224A">
      <w:r>
        <w:t>Article to verify the compatibility of browser, Inbound, Outbound callouts.</w:t>
      </w:r>
    </w:p>
    <w:p w:rsidR="009F224A" w:rsidRDefault="009F224A" w:rsidP="009F224A">
      <w:hyperlink r:id="rId11" w:history="1">
        <w:r w:rsidRPr="00E571F6">
          <w:rPr>
            <w:rStyle w:val="Hyperlink"/>
          </w:rPr>
          <w:t>https://help.salesforce.com/articleView?id=000221207&amp;language=en_US&amp;type=1</w:t>
        </w:r>
      </w:hyperlink>
    </w:p>
    <w:p w:rsidR="00205C43" w:rsidRDefault="00205C43" w:rsidP="00205C43">
      <w:pPr>
        <w:rPr>
          <w:b/>
        </w:rPr>
      </w:pPr>
      <w:r w:rsidRPr="00205C43">
        <w:rPr>
          <w:b/>
        </w:rPr>
        <w:t>Internet Browsers check</w:t>
      </w:r>
    </w:p>
    <w:p w:rsidR="00205C43" w:rsidRPr="00205C43" w:rsidRDefault="00205C43" w:rsidP="00205C43">
      <w:pPr>
        <w:rPr>
          <w:b/>
        </w:rPr>
      </w:pPr>
      <w:r w:rsidRPr="00205C43">
        <w:t>Open the link to test the browser compatibility to pass TLS</w:t>
      </w:r>
      <w:r>
        <w:t xml:space="preserve"> 1.1 or 1.2 check </w:t>
      </w:r>
      <w:hyperlink r:id="rId12" w:history="1">
        <w:r w:rsidRPr="00E571F6">
          <w:rPr>
            <w:rStyle w:val="Hyperlink"/>
          </w:rPr>
          <w:t>https://tls1test.salesforce.com/</w:t>
        </w:r>
      </w:hyperlink>
    </w:p>
    <w:p w:rsidR="00205C43" w:rsidRDefault="00205C43">
      <w:r w:rsidRPr="00205C43">
        <w:t>If you experience errors, you need to ensure your browsers are compatible with TLS 1.1 or higher. If your browser is not compatible with TLS 1.1 or higher after we make this change, your users will NOT be able to access Salesforce. We recommend that you begin planning to support TLS 1.1 and TLS 1.2 as soon as possible.</w:t>
      </w:r>
    </w:p>
    <w:p w:rsidR="009F224A" w:rsidRPr="009F224A" w:rsidRDefault="009F224A" w:rsidP="009F224A">
      <w:pPr>
        <w:pStyle w:val="NormalWeb"/>
        <w:shd w:val="clear" w:color="auto" w:fill="FFFFFF"/>
        <w:spacing w:before="0" w:beforeAutospacing="0" w:after="0" w:afterAutospacing="0"/>
        <w:textAlignment w:val="baseline"/>
        <w:rPr>
          <w:rFonts w:asciiTheme="minorHAnsi" w:eastAsiaTheme="minorHAnsi" w:hAnsiTheme="minorHAnsi" w:cstheme="minorBidi"/>
          <w:b/>
          <w:sz w:val="28"/>
          <w:szCs w:val="28"/>
        </w:rPr>
      </w:pPr>
      <w:r w:rsidRPr="009F224A">
        <w:rPr>
          <w:rFonts w:asciiTheme="minorHAnsi" w:eastAsiaTheme="minorHAnsi" w:hAnsiTheme="minorHAnsi" w:cstheme="minorBidi"/>
          <w:b/>
          <w:sz w:val="28"/>
          <w:szCs w:val="28"/>
        </w:rPr>
        <w:t>How can I help my end users manage this change?</w:t>
      </w:r>
    </w:p>
    <w:p w:rsidR="009F224A" w:rsidRPr="00DB39C1" w:rsidRDefault="009F224A" w:rsidP="009F224A">
      <w:pPr>
        <w:pStyle w:val="NormalWeb"/>
        <w:shd w:val="clear" w:color="auto" w:fill="FFFFFF"/>
        <w:spacing w:before="240" w:beforeAutospacing="0" w:after="0" w:afterAutospacing="0"/>
        <w:textAlignment w:val="baseline"/>
        <w:rPr>
          <w:rFonts w:asciiTheme="minorHAnsi" w:eastAsiaTheme="minorHAnsi" w:hAnsiTheme="minorHAnsi" w:cstheme="minorBidi"/>
          <w:sz w:val="22"/>
          <w:szCs w:val="22"/>
        </w:rPr>
      </w:pPr>
      <w:r w:rsidRPr="00DB39C1">
        <w:rPr>
          <w:rFonts w:asciiTheme="minorHAnsi" w:eastAsiaTheme="minorHAnsi" w:hAnsiTheme="minorHAnsi" w:cstheme="minorBidi"/>
          <w:sz w:val="22"/>
          <w:szCs w:val="22"/>
        </w:rPr>
        <w:t>You can provide your users (including both internal and external community users) with a notification when they access Salesforce using TLS 1.0 that advises them to either update their web browser setting or upgrade their web browser.</w:t>
      </w:r>
    </w:p>
    <w:p w:rsidR="009F224A" w:rsidRDefault="009F224A" w:rsidP="009F224A">
      <w:pPr>
        <w:rPr>
          <w:b/>
        </w:rPr>
      </w:pPr>
      <w:r>
        <w:t>U</w:t>
      </w:r>
      <w:r w:rsidRPr="00A04266">
        <w:t xml:space="preserve">se the App to test the TLS1.0 compatibility in the end user device. </w:t>
      </w:r>
      <w:hyperlink r:id="rId13" w:history="1">
        <w:r w:rsidRPr="009F224A">
          <w:rPr>
            <w:rStyle w:val="Hyperlink"/>
          </w:rPr>
          <w:t>https://appexchange.salesforce.com/listingDetail?listingId=a0N3000000DpyiJEAR</w:t>
        </w:r>
      </w:hyperlink>
    </w:p>
    <w:p w:rsidR="009F224A" w:rsidRDefault="009F224A" w:rsidP="009F224A">
      <w:r w:rsidRPr="00A04266">
        <w:t>Install and configure this app and then end users can view the error message.</w:t>
      </w:r>
    </w:p>
    <w:p w:rsidR="00205C43" w:rsidRDefault="009F224A">
      <w:r>
        <w:rPr>
          <w:noProof/>
        </w:rPr>
        <w:drawing>
          <wp:inline distT="0" distB="0" distL="0" distR="0" wp14:anchorId="6C814043" wp14:editId="358B3F87">
            <wp:extent cx="5943600" cy="6896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89610"/>
                    </a:xfrm>
                    <a:prstGeom prst="rect">
                      <a:avLst/>
                    </a:prstGeom>
                  </pic:spPr>
                </pic:pic>
              </a:graphicData>
            </a:graphic>
          </wp:inline>
        </w:drawing>
      </w:r>
    </w:p>
    <w:sectPr w:rsidR="00205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636D7"/>
    <w:multiLevelType w:val="multilevel"/>
    <w:tmpl w:val="070A70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3B684A"/>
    <w:multiLevelType w:val="multilevel"/>
    <w:tmpl w:val="3F02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123A4"/>
    <w:multiLevelType w:val="multilevel"/>
    <w:tmpl w:val="EAE4E9E2"/>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3" w15:restartNumberingAfterBreak="0">
    <w:nsid w:val="262D3FE8"/>
    <w:multiLevelType w:val="multilevel"/>
    <w:tmpl w:val="E394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F1291B"/>
    <w:multiLevelType w:val="multilevel"/>
    <w:tmpl w:val="5142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6D0C4F"/>
    <w:multiLevelType w:val="multilevel"/>
    <w:tmpl w:val="D166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886"/>
    <w:rsid w:val="00205C43"/>
    <w:rsid w:val="002F4C6A"/>
    <w:rsid w:val="003375BE"/>
    <w:rsid w:val="003B397A"/>
    <w:rsid w:val="00433F75"/>
    <w:rsid w:val="00445C6E"/>
    <w:rsid w:val="004E5983"/>
    <w:rsid w:val="00607F6A"/>
    <w:rsid w:val="007A1128"/>
    <w:rsid w:val="007C4886"/>
    <w:rsid w:val="009F224A"/>
    <w:rsid w:val="00A04266"/>
    <w:rsid w:val="00DB39C1"/>
    <w:rsid w:val="00DC7446"/>
    <w:rsid w:val="00F62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A1B4E"/>
  <w15:chartTrackingRefBased/>
  <w15:docId w15:val="{EAEF49A5-0634-4476-A531-EABF9861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59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5983"/>
    <w:rPr>
      <w:color w:val="0000FF"/>
      <w:u w:val="single"/>
    </w:rPr>
  </w:style>
  <w:style w:type="paragraph" w:styleId="ListParagraph">
    <w:name w:val="List Paragraph"/>
    <w:basedOn w:val="Normal"/>
    <w:uiPriority w:val="34"/>
    <w:qFormat/>
    <w:rsid w:val="003B397A"/>
    <w:pPr>
      <w:ind w:left="720"/>
      <w:contextualSpacing/>
    </w:pPr>
  </w:style>
  <w:style w:type="character" w:customStyle="1" w:styleId="apple-converted-space">
    <w:name w:val="apple-converted-space"/>
    <w:basedOn w:val="DefaultParagraphFont"/>
    <w:rsid w:val="007A1128"/>
  </w:style>
  <w:style w:type="table" w:styleId="TableGrid">
    <w:name w:val="Table Grid"/>
    <w:basedOn w:val="TableNormal"/>
    <w:uiPriority w:val="39"/>
    <w:rsid w:val="00DC7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1851">
      <w:bodyDiv w:val="1"/>
      <w:marLeft w:val="0"/>
      <w:marRight w:val="0"/>
      <w:marTop w:val="0"/>
      <w:marBottom w:val="0"/>
      <w:divBdr>
        <w:top w:val="none" w:sz="0" w:space="0" w:color="auto"/>
        <w:left w:val="none" w:sz="0" w:space="0" w:color="auto"/>
        <w:bottom w:val="none" w:sz="0" w:space="0" w:color="auto"/>
        <w:right w:val="none" w:sz="0" w:space="0" w:color="auto"/>
      </w:divBdr>
    </w:div>
    <w:div w:id="224682401">
      <w:bodyDiv w:val="1"/>
      <w:marLeft w:val="0"/>
      <w:marRight w:val="0"/>
      <w:marTop w:val="0"/>
      <w:marBottom w:val="0"/>
      <w:divBdr>
        <w:top w:val="none" w:sz="0" w:space="0" w:color="auto"/>
        <w:left w:val="none" w:sz="0" w:space="0" w:color="auto"/>
        <w:bottom w:val="none" w:sz="0" w:space="0" w:color="auto"/>
        <w:right w:val="none" w:sz="0" w:space="0" w:color="auto"/>
      </w:divBdr>
    </w:div>
    <w:div w:id="452676817">
      <w:bodyDiv w:val="1"/>
      <w:marLeft w:val="0"/>
      <w:marRight w:val="0"/>
      <w:marTop w:val="0"/>
      <w:marBottom w:val="0"/>
      <w:divBdr>
        <w:top w:val="none" w:sz="0" w:space="0" w:color="auto"/>
        <w:left w:val="none" w:sz="0" w:space="0" w:color="auto"/>
        <w:bottom w:val="none" w:sz="0" w:space="0" w:color="auto"/>
        <w:right w:val="none" w:sz="0" w:space="0" w:color="auto"/>
      </w:divBdr>
    </w:div>
    <w:div w:id="1129014285">
      <w:bodyDiv w:val="1"/>
      <w:marLeft w:val="0"/>
      <w:marRight w:val="0"/>
      <w:marTop w:val="0"/>
      <w:marBottom w:val="0"/>
      <w:divBdr>
        <w:top w:val="none" w:sz="0" w:space="0" w:color="auto"/>
        <w:left w:val="none" w:sz="0" w:space="0" w:color="auto"/>
        <w:bottom w:val="none" w:sz="0" w:space="0" w:color="auto"/>
        <w:right w:val="none" w:sz="0" w:space="0" w:color="auto"/>
      </w:divBdr>
    </w:div>
    <w:div w:id="158302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alesforce.com/articleView?id=000221207&amp;language=en_US&amp;type=1" TargetMode="External"/><Relationship Id="rId13" Type="http://schemas.openxmlformats.org/officeDocument/2006/relationships/hyperlink" Target="https://appexchange.salesforce.com/listingDetail?listingId=a0N3000000DpyiJEAR" TargetMode="External"/><Relationship Id="rId3" Type="http://schemas.openxmlformats.org/officeDocument/2006/relationships/settings" Target="settings.xml"/><Relationship Id="rId7" Type="http://schemas.openxmlformats.org/officeDocument/2006/relationships/hyperlink" Target="https://tls1test.salesforce.com/" TargetMode="External"/><Relationship Id="rId12" Type="http://schemas.openxmlformats.org/officeDocument/2006/relationships/hyperlink" Target="https://tls1test.salesforce.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salesforce.com/articleView?id=000221207&amp;language=en_US&amp;type=1" TargetMode="External"/><Relationship Id="rId11" Type="http://schemas.openxmlformats.org/officeDocument/2006/relationships/hyperlink" Target="https://help.salesforce.com/articleView?id=000221207&amp;language=en_US&amp;type=1"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releasenotes.docs.salesforce.com/en-us/spring16/release-notes/rn_forcecom_data_data_loader.htm" TargetMode="External"/><Relationship Id="rId4" Type="http://schemas.openxmlformats.org/officeDocument/2006/relationships/webSettings" Target="webSettings.xml"/><Relationship Id="rId9" Type="http://schemas.openxmlformats.org/officeDocument/2006/relationships/hyperlink" Target="https://help.salesforce.com/articleView?id=000221207&amp;language=en_US&amp;type=1"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660</Words>
  <Characters>3765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 Ravuri</dc:creator>
  <cp:keywords/>
  <dc:description/>
  <cp:lastModifiedBy>Chandrasekhar Ravuri</cp:lastModifiedBy>
  <cp:revision>2</cp:revision>
  <dcterms:created xsi:type="dcterms:W3CDTF">2017-07-10T10:24:00Z</dcterms:created>
  <dcterms:modified xsi:type="dcterms:W3CDTF">2017-07-10T10:24:00Z</dcterms:modified>
</cp:coreProperties>
</file>