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060D" w:rsidRDefault="000E3119">
      <w:pPr>
        <w:pStyle w:val="Heading61"/>
        <w:numPr>
          <w:ilvl w:val="5"/>
          <w:numId w:val="3"/>
        </w:numPr>
        <w:bidi/>
        <w:ind w:left="-851" w:right="-851"/>
        <w:rPr>
          <w:rFonts w:ascii="Sakkal Majalla" w:hAnsi="Sakkal Majalla" w:cs="Sakkal Majalla"/>
          <w:sz w:val="32"/>
          <w:szCs w:val="32"/>
          <w:lang w:val="fr-FR" w:bidi="ar-DZ"/>
        </w:rPr>
      </w:pPr>
      <w:r>
        <w:rPr>
          <w:rFonts w:ascii="Sakkal Majalla" w:hAnsi="Sakkal Majalla" w:cs="Sakkal Majalla" w:hint="cs"/>
          <w:b/>
          <w:bCs/>
          <w:sz w:val="32"/>
          <w:szCs w:val="32"/>
          <w:rtl/>
          <w:lang w:val="fr-FR" w:bidi="ar-DZ"/>
        </w:rPr>
        <w:t>ا</w:t>
      </w:r>
      <w:r>
        <w:rPr>
          <w:rFonts w:ascii="Sakkal Majalla" w:hAnsi="Sakkal Majalla" w:cs="Sakkal Majalla"/>
          <w:b/>
          <w:bCs/>
          <w:sz w:val="32"/>
          <w:szCs w:val="32"/>
          <w:rtl/>
          <w:lang w:val="fr-FR" w:bidi="ar-SA"/>
        </w:rPr>
        <w:t>لجمهورية الجزائرية الديمقراطية الشعبية</w:t>
      </w:r>
    </w:p>
    <w:p w:rsidR="0081060D" w:rsidRDefault="000E3119">
      <w:pPr>
        <w:pStyle w:val="Heading61"/>
        <w:numPr>
          <w:ilvl w:val="5"/>
          <w:numId w:val="3"/>
        </w:numPr>
        <w:bidi/>
        <w:ind w:left="-851" w:right="-851"/>
        <w:rPr>
          <w:rFonts w:ascii="Sakkal Majalla" w:hAnsi="Sakkal Majalla" w:cs="Sakkal Majalla"/>
          <w:b/>
          <w:bCs/>
          <w:sz w:val="32"/>
          <w:szCs w:val="32"/>
          <w:lang w:val="fr-FR" w:bidi="ar-SA"/>
        </w:rPr>
      </w:pPr>
      <w:r>
        <w:rPr>
          <w:rFonts w:ascii="Sakkal Majalla" w:hAnsi="Sakkal Majalla" w:cs="Sakkal Majalla"/>
          <w:b/>
          <w:bCs/>
          <w:sz w:val="32"/>
          <w:szCs w:val="32"/>
          <w:rtl/>
          <w:lang w:val="fr-FR" w:bidi="ar-SA"/>
        </w:rPr>
        <w:t>وزارة التعليم العالي والبحث العلمي</w:t>
      </w:r>
    </w:p>
    <w:tbl>
      <w:tblPr>
        <w:bidiVisual/>
        <w:tblW w:w="4624" w:type="pct"/>
        <w:jc w:val="center"/>
        <w:tblLayout w:type="fixed"/>
        <w:tblCellMar>
          <w:top w:w="55" w:type="dxa"/>
          <w:left w:w="55" w:type="dxa"/>
          <w:bottom w:w="55" w:type="dxa"/>
          <w:right w:w="55" w:type="dxa"/>
        </w:tblCellMar>
        <w:tblLook w:val="04A0" w:firstRow="1" w:lastRow="0" w:firstColumn="1" w:lastColumn="0" w:noHBand="0" w:noVBand="1"/>
      </w:tblPr>
      <w:tblGrid>
        <w:gridCol w:w="3413"/>
        <w:gridCol w:w="1747"/>
        <w:gridCol w:w="4146"/>
      </w:tblGrid>
      <w:tr w:rsidR="0081060D" w:rsidRPr="00240208">
        <w:trPr>
          <w:trHeight w:val="1140"/>
          <w:jc w:val="center"/>
        </w:trPr>
        <w:tc>
          <w:tcPr>
            <w:tcW w:w="3413" w:type="dxa"/>
            <w:vAlign w:val="center"/>
          </w:tcPr>
          <w:p w:rsidR="0081060D" w:rsidRDefault="000E3119">
            <w:pPr>
              <w:pStyle w:val="Contenudetableau"/>
              <w:bidi/>
              <w:rPr>
                <w:rFonts w:cs="Sakkal Majalla"/>
                <w:b/>
                <w:bCs/>
                <w:szCs w:val="32"/>
                <w:lang w:bidi="ar-DZ"/>
              </w:rPr>
            </w:pPr>
            <w:r>
              <w:rPr>
                <w:rFonts w:cs="Sakkal Majalla"/>
                <w:b/>
                <w:bCs/>
                <w:szCs w:val="32"/>
                <w:rtl/>
                <w:lang w:bidi="ar-SA"/>
              </w:rPr>
              <w:t xml:space="preserve">جامعة باجي مختار </w:t>
            </w:r>
            <w:r>
              <w:rPr>
                <w:rFonts w:cs="Sakkal Majalla"/>
                <w:b/>
                <w:bCs/>
                <w:szCs w:val="32"/>
                <w:rtl/>
                <w:cs/>
              </w:rPr>
              <w:t xml:space="preserve">– </w:t>
            </w:r>
            <w:r>
              <w:rPr>
                <w:rFonts w:cs="Sakkal Majalla"/>
                <w:b/>
                <w:bCs/>
                <w:szCs w:val="32"/>
                <w:rtl/>
                <w:cs/>
                <w:lang w:bidi="ar-SA"/>
              </w:rPr>
              <w:t>عنابـــــــــــــــة</w:t>
            </w:r>
          </w:p>
        </w:tc>
        <w:tc>
          <w:tcPr>
            <w:tcW w:w="1747" w:type="dxa"/>
            <w:vAlign w:val="center"/>
          </w:tcPr>
          <w:p w:rsidR="0081060D" w:rsidRDefault="000E3119">
            <w:pPr>
              <w:pStyle w:val="Contenudetableau"/>
              <w:jc w:val="center"/>
            </w:pPr>
            <w:r>
              <w:rPr>
                <w:noProof/>
                <w:lang w:eastAsia="fr-FR" w:bidi="ar-SA"/>
              </w:rPr>
              <w:drawing>
                <wp:inline distT="0" distB="0" distL="0" distR="0">
                  <wp:extent cx="792480" cy="650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37" t="-46" r="-37" b="-46"/>
                          <a:stretch>
                            <a:fillRect/>
                          </a:stretch>
                        </pic:blipFill>
                        <pic:spPr>
                          <a:xfrm>
                            <a:off x="0" y="0"/>
                            <a:ext cx="792480" cy="650875"/>
                          </a:xfrm>
                          <a:prstGeom prst="rect">
                            <a:avLst/>
                          </a:prstGeom>
                        </pic:spPr>
                      </pic:pic>
                    </a:graphicData>
                  </a:graphic>
                </wp:inline>
              </w:drawing>
            </w:r>
          </w:p>
        </w:tc>
        <w:tc>
          <w:tcPr>
            <w:tcW w:w="4146" w:type="dxa"/>
            <w:vAlign w:val="center"/>
          </w:tcPr>
          <w:p w:rsidR="0081060D" w:rsidRDefault="000E3119">
            <w:pPr>
              <w:pStyle w:val="Contenudetableau"/>
              <w:ind w:left="228"/>
              <w:rPr>
                <w:rFonts w:ascii="Sakkal Majalla" w:hAnsi="Sakkal Majalla"/>
                <w:b/>
                <w:bCs/>
                <w:sz w:val="28"/>
                <w:lang w:val="en-US"/>
              </w:rPr>
            </w:pPr>
            <w:proofErr w:type="spellStart"/>
            <w:r>
              <w:rPr>
                <w:rFonts w:ascii="Sakkal Majalla" w:hAnsi="Sakkal Majalla"/>
                <w:b/>
                <w:bCs/>
                <w:sz w:val="28"/>
                <w:lang w:val="en-US"/>
              </w:rPr>
              <w:t>Université</w:t>
            </w:r>
            <w:proofErr w:type="spellEnd"/>
            <w:r>
              <w:rPr>
                <w:rFonts w:ascii="Sakkal Majalla" w:hAnsi="Sakkal Majalla"/>
                <w:b/>
                <w:bCs/>
                <w:sz w:val="28"/>
                <w:lang w:val="en-US"/>
              </w:rPr>
              <w:t xml:space="preserve"> </w:t>
            </w:r>
            <w:proofErr w:type="spellStart"/>
            <w:r>
              <w:rPr>
                <w:rFonts w:ascii="Sakkal Majalla" w:hAnsi="Sakkal Majalla"/>
                <w:b/>
                <w:bCs/>
                <w:sz w:val="28"/>
                <w:lang w:val="en-US"/>
              </w:rPr>
              <w:t>Badji</w:t>
            </w:r>
            <w:proofErr w:type="spellEnd"/>
            <w:r>
              <w:rPr>
                <w:rFonts w:ascii="Sakkal Majalla" w:hAnsi="Sakkal Majalla"/>
                <w:b/>
                <w:bCs/>
                <w:sz w:val="28"/>
                <w:lang w:val="en-US"/>
              </w:rPr>
              <w:t xml:space="preserve"> Mokhtar - Annaba</w:t>
            </w:r>
          </w:p>
          <w:p w:rsidR="0081060D" w:rsidRDefault="000E3119">
            <w:pPr>
              <w:pStyle w:val="Contenudetableau"/>
              <w:ind w:left="228"/>
              <w:jc w:val="both"/>
              <w:rPr>
                <w:rFonts w:ascii="Sakkal Majalla" w:hAnsi="Sakkal Majalla"/>
                <w:b/>
                <w:bCs/>
                <w:sz w:val="28"/>
                <w:lang w:val="en-US"/>
              </w:rPr>
            </w:pPr>
            <w:proofErr w:type="spellStart"/>
            <w:r>
              <w:rPr>
                <w:rFonts w:ascii="Sakkal Majalla" w:hAnsi="Sakkal Majalla"/>
                <w:b/>
                <w:bCs/>
                <w:sz w:val="28"/>
                <w:lang w:val="en-US"/>
              </w:rPr>
              <w:t>Badji</w:t>
            </w:r>
            <w:proofErr w:type="spellEnd"/>
            <w:r>
              <w:rPr>
                <w:rFonts w:ascii="Sakkal Majalla" w:hAnsi="Sakkal Majalla"/>
                <w:b/>
                <w:bCs/>
                <w:sz w:val="28"/>
                <w:lang w:val="en-US"/>
              </w:rPr>
              <w:t xml:space="preserve"> Mokhtar – Annaba University</w:t>
            </w:r>
          </w:p>
        </w:tc>
      </w:tr>
      <w:tr w:rsidR="0081060D">
        <w:trPr>
          <w:trHeight w:hRule="exact" w:val="340"/>
          <w:jc w:val="center"/>
        </w:trPr>
        <w:tc>
          <w:tcPr>
            <w:tcW w:w="9306" w:type="dxa"/>
            <w:gridSpan w:val="3"/>
          </w:tcPr>
          <w:p w:rsidR="0081060D" w:rsidRDefault="000E3119">
            <w:pPr>
              <w:spacing w:after="0" w:line="240" w:lineRule="auto"/>
              <w:ind w:left="284"/>
              <w:rPr>
                <w:rFonts w:ascii="Sakkal Majalla" w:hAnsi="Sakkal Majalla" w:cs="Sakkal Majalla"/>
                <w:b/>
                <w:bCs/>
                <w:sz w:val="26"/>
                <w:szCs w:val="26"/>
              </w:rPr>
            </w:pPr>
            <w:r>
              <w:rPr>
                <w:rFonts w:ascii="Sakkal Majalla" w:eastAsia="Sakkal Majalla" w:hAnsi="Sakkal Majalla" w:cs="Sakkal Majalla"/>
                <w:b/>
                <w:sz w:val="26"/>
                <w:szCs w:val="26"/>
              </w:rPr>
              <w:t>Faculté : Technologie</w:t>
            </w:r>
          </w:p>
        </w:tc>
      </w:tr>
      <w:tr w:rsidR="0081060D">
        <w:trPr>
          <w:trHeight w:hRule="exact" w:val="340"/>
          <w:jc w:val="center"/>
        </w:trPr>
        <w:tc>
          <w:tcPr>
            <w:tcW w:w="9306" w:type="dxa"/>
            <w:gridSpan w:val="3"/>
          </w:tcPr>
          <w:p w:rsidR="0081060D" w:rsidRDefault="000E3119">
            <w:pPr>
              <w:spacing w:after="0" w:line="240" w:lineRule="auto"/>
              <w:ind w:left="284"/>
              <w:rPr>
                <w:rFonts w:ascii="Sakkal Majalla" w:hAnsi="Sakkal Majalla" w:cs="Sakkal Majalla"/>
                <w:b/>
                <w:bCs/>
                <w:sz w:val="26"/>
                <w:szCs w:val="26"/>
              </w:rPr>
            </w:pPr>
            <w:r>
              <w:rPr>
                <w:rFonts w:ascii="Sakkal Majalla" w:eastAsia="Sakkal Majalla" w:hAnsi="Sakkal Majalla" w:cs="Sakkal Majalla"/>
                <w:b/>
                <w:sz w:val="26"/>
                <w:szCs w:val="26"/>
              </w:rPr>
              <w:t>Département : Informatique</w:t>
            </w:r>
          </w:p>
        </w:tc>
      </w:tr>
      <w:tr w:rsidR="0081060D">
        <w:trPr>
          <w:trHeight w:hRule="exact" w:val="340"/>
          <w:jc w:val="center"/>
        </w:trPr>
        <w:tc>
          <w:tcPr>
            <w:tcW w:w="9306" w:type="dxa"/>
            <w:gridSpan w:val="3"/>
          </w:tcPr>
          <w:p w:rsidR="0081060D" w:rsidRDefault="000E3119">
            <w:pPr>
              <w:spacing w:after="0" w:line="240" w:lineRule="auto"/>
              <w:ind w:left="284"/>
              <w:rPr>
                <w:rFonts w:ascii="Sakkal Majalla" w:hAnsi="Sakkal Majalla" w:cs="Sakkal Majalla"/>
                <w:b/>
                <w:bCs/>
                <w:sz w:val="26"/>
                <w:szCs w:val="26"/>
              </w:rPr>
            </w:pPr>
            <w:r>
              <w:rPr>
                <w:rFonts w:ascii="Sakkal Majalla" w:eastAsia="Sakkal Majalla" w:hAnsi="Sakkal Majalla" w:cs="Sakkal Majalla"/>
                <w:b/>
                <w:sz w:val="26"/>
                <w:szCs w:val="26"/>
              </w:rPr>
              <w:t xml:space="preserve">Domaine : </w:t>
            </w:r>
            <w:r>
              <w:rPr>
                <w:rFonts w:ascii="Sakkal Majalla" w:eastAsia="Sakkal Majalla" w:hAnsi="Sakkal Majalla" w:cs="Sakkal Majalla"/>
                <w:b/>
                <w:sz w:val="26"/>
                <w:szCs w:val="26"/>
              </w:rPr>
              <w:t>Mathématique-Informatique</w:t>
            </w:r>
          </w:p>
        </w:tc>
      </w:tr>
      <w:tr w:rsidR="0081060D">
        <w:trPr>
          <w:trHeight w:hRule="exact" w:val="340"/>
          <w:jc w:val="center"/>
        </w:trPr>
        <w:tc>
          <w:tcPr>
            <w:tcW w:w="9306" w:type="dxa"/>
            <w:gridSpan w:val="3"/>
          </w:tcPr>
          <w:p w:rsidR="0081060D" w:rsidRDefault="000E3119">
            <w:pPr>
              <w:spacing w:after="0" w:line="240" w:lineRule="auto"/>
              <w:ind w:left="284"/>
              <w:rPr>
                <w:rFonts w:ascii="Sakkal Majalla" w:hAnsi="Sakkal Majalla" w:cs="Sakkal Majalla"/>
                <w:b/>
                <w:bCs/>
                <w:sz w:val="26"/>
                <w:szCs w:val="26"/>
              </w:rPr>
            </w:pPr>
            <w:r>
              <w:rPr>
                <w:rFonts w:ascii="Sakkal Majalla" w:eastAsia="Sakkal Majalla" w:hAnsi="Sakkal Majalla" w:cs="Sakkal Majalla"/>
                <w:b/>
                <w:sz w:val="26"/>
                <w:szCs w:val="26"/>
              </w:rPr>
              <w:t>Filière : Informatique</w:t>
            </w:r>
          </w:p>
        </w:tc>
      </w:tr>
      <w:tr w:rsidR="0081060D">
        <w:trPr>
          <w:trHeight w:hRule="exact" w:val="340"/>
          <w:jc w:val="center"/>
        </w:trPr>
        <w:tc>
          <w:tcPr>
            <w:tcW w:w="9306" w:type="dxa"/>
            <w:gridSpan w:val="3"/>
          </w:tcPr>
          <w:p w:rsidR="0081060D" w:rsidRDefault="000E3119">
            <w:pPr>
              <w:spacing w:after="0" w:line="240" w:lineRule="auto"/>
              <w:ind w:left="284"/>
              <w:rPr>
                <w:rFonts w:ascii="Sakkal Majalla" w:eastAsia="Sakkal Majalla" w:hAnsi="Sakkal Majalla" w:cs="Sakkal Majalla"/>
                <w:b/>
                <w:sz w:val="26"/>
                <w:szCs w:val="26"/>
              </w:rPr>
            </w:pPr>
            <w:r>
              <w:rPr>
                <w:rFonts w:ascii="Sakkal Majalla" w:eastAsia="Sakkal Majalla" w:hAnsi="Sakkal Majalla" w:cs="Sakkal Majalla"/>
                <w:b/>
                <w:sz w:val="26"/>
                <w:szCs w:val="26"/>
              </w:rPr>
              <w:t xml:space="preserve">Spécialité : </w:t>
            </w:r>
            <w:r>
              <w:rPr>
                <w:rFonts w:ascii="Sakkal Majalla" w:eastAsia="Sakkal Majalla" w:hAnsi="Sakkal Majalla" w:cs="Sakkal Majalla"/>
                <w:b/>
                <w:bCs/>
                <w:sz w:val="26"/>
                <w:szCs w:val="26"/>
              </w:rPr>
              <w:t>Réseaux et Sécurité informatique</w:t>
            </w:r>
          </w:p>
          <w:p w:rsidR="0081060D" w:rsidRDefault="0081060D">
            <w:pPr>
              <w:spacing w:after="0" w:line="240" w:lineRule="auto"/>
              <w:ind w:left="284"/>
              <w:rPr>
                <w:rFonts w:ascii="Sakkal Majalla" w:eastAsia="Sakkal Majalla" w:hAnsi="Sakkal Majalla" w:cs="Sakkal Majalla"/>
                <w:b/>
                <w:sz w:val="26"/>
                <w:szCs w:val="26"/>
              </w:rPr>
            </w:pPr>
          </w:p>
          <w:p w:rsidR="0081060D" w:rsidRDefault="0081060D">
            <w:pPr>
              <w:spacing w:after="0" w:line="240" w:lineRule="auto"/>
              <w:ind w:left="284"/>
              <w:rPr>
                <w:rFonts w:ascii="Sakkal Majalla" w:eastAsia="Sakkal Majalla" w:hAnsi="Sakkal Majalla" w:cs="Sakkal Majalla"/>
                <w:b/>
                <w:sz w:val="26"/>
                <w:szCs w:val="26"/>
              </w:rPr>
            </w:pPr>
          </w:p>
          <w:p w:rsidR="0081060D" w:rsidRDefault="0081060D">
            <w:pPr>
              <w:spacing w:after="0" w:line="240" w:lineRule="auto"/>
              <w:ind w:left="284"/>
              <w:rPr>
                <w:rFonts w:ascii="Sakkal Majalla" w:eastAsia="Sakkal Majalla" w:hAnsi="Sakkal Majalla" w:cs="Sakkal Majalla"/>
                <w:b/>
                <w:sz w:val="26"/>
                <w:szCs w:val="26"/>
              </w:rPr>
            </w:pPr>
          </w:p>
          <w:p w:rsidR="0081060D" w:rsidRDefault="0081060D">
            <w:pPr>
              <w:spacing w:after="0" w:line="240" w:lineRule="auto"/>
              <w:ind w:left="284"/>
              <w:rPr>
                <w:rFonts w:ascii="Sakkal Majalla" w:hAnsi="Sakkal Majalla" w:cs="Sakkal Majalla"/>
                <w:b/>
                <w:bCs/>
                <w:sz w:val="26"/>
                <w:szCs w:val="26"/>
              </w:rPr>
            </w:pPr>
          </w:p>
        </w:tc>
      </w:tr>
    </w:tbl>
    <w:p w:rsidR="0081060D" w:rsidRDefault="000E3119">
      <w:pPr>
        <w:pStyle w:val="Paragraphedeliste"/>
        <w:numPr>
          <w:ilvl w:val="0"/>
          <w:numId w:val="3"/>
        </w:numPr>
        <w:tabs>
          <w:tab w:val="center" w:pos="4365"/>
          <w:tab w:val="left" w:pos="8656"/>
        </w:tabs>
        <w:spacing w:after="0" w:line="240" w:lineRule="auto"/>
        <w:ind w:right="426"/>
        <w:jc w:val="center"/>
        <w:rPr>
          <w:rFonts w:ascii="Sakkal Majalla" w:hAnsi="Sakkal Majalla" w:cs="Sakkal Majalla"/>
          <w:b/>
          <w:bCs/>
          <w:sz w:val="40"/>
          <w:szCs w:val="40"/>
        </w:rPr>
      </w:pPr>
      <w:bookmarkStart w:id="0" w:name="_Toc166865636"/>
      <w:r>
        <w:rPr>
          <w:rFonts w:ascii="Sakkal Majalla" w:eastAsia="Sakkal Majalla" w:hAnsi="Sakkal Majalla" w:cs="Sakkal Majalla"/>
          <w:b/>
          <w:sz w:val="44"/>
          <w:szCs w:val="44"/>
        </w:rPr>
        <w:t xml:space="preserve">        </w:t>
      </w:r>
    </w:p>
    <w:bookmarkEnd w:id="0"/>
    <w:p w:rsidR="0081060D" w:rsidRDefault="0081060D">
      <w:pPr>
        <w:pStyle w:val="Paragraphedeliste"/>
        <w:numPr>
          <w:ilvl w:val="0"/>
          <w:numId w:val="3"/>
        </w:numPr>
        <w:tabs>
          <w:tab w:val="center" w:pos="4365"/>
          <w:tab w:val="left" w:pos="8656"/>
        </w:tabs>
        <w:spacing w:after="0" w:line="240" w:lineRule="auto"/>
        <w:ind w:right="426"/>
        <w:jc w:val="center"/>
        <w:rPr>
          <w:rFonts w:eastAsia="Sakkal Majalla"/>
        </w:rPr>
      </w:pPr>
    </w:p>
    <w:p w:rsidR="0081060D" w:rsidRDefault="000E3119">
      <w:pPr>
        <w:tabs>
          <w:tab w:val="center" w:pos="4365"/>
          <w:tab w:val="left" w:pos="8656"/>
        </w:tabs>
        <w:spacing w:after="0" w:line="240" w:lineRule="auto"/>
        <w:ind w:right="426"/>
        <w:jc w:val="center"/>
        <w:rPr>
          <w:rFonts w:ascii="Sakkal Majalla" w:eastAsia="Sakkal Majalla" w:hAnsi="Sakkal Majalla" w:cs="Sakkal Majalla"/>
          <w:b/>
          <w:sz w:val="44"/>
          <w:szCs w:val="44"/>
        </w:rPr>
      </w:pPr>
      <w:r>
        <w:rPr>
          <w:rFonts w:ascii="Sakkal Majalla" w:hAnsi="Sakkal Majalla" w:cs="Sakkal Majalla"/>
          <w:b/>
          <w:bCs/>
          <w:sz w:val="44"/>
          <w:szCs w:val="44"/>
        </w:rPr>
        <w:t xml:space="preserve">       </w:t>
      </w:r>
      <w:r>
        <w:rPr>
          <w:rFonts w:ascii="Sakkal Majalla" w:eastAsia="Sakkal Majalla" w:hAnsi="Sakkal Majalla" w:cs="Sakkal Majalla"/>
          <w:b/>
          <w:sz w:val="44"/>
          <w:szCs w:val="44"/>
        </w:rPr>
        <w:t>Thème</w:t>
      </w:r>
    </w:p>
    <w:p w:rsidR="0081060D" w:rsidRDefault="000E3119">
      <w:pPr>
        <w:tabs>
          <w:tab w:val="center" w:pos="4365"/>
          <w:tab w:val="left" w:pos="8656"/>
        </w:tabs>
        <w:bidi/>
        <w:spacing w:after="0" w:line="240" w:lineRule="auto"/>
        <w:ind w:right="426"/>
        <w:jc w:val="center"/>
      </w:pPr>
      <w:r>
        <w:tab/>
      </w:r>
      <w:r>
        <w:tab/>
      </w:r>
      <w:r>
        <w:tab/>
      </w:r>
      <w:r>
        <w:rPr>
          <w:noProof/>
        </w:rPr>
        <mc:AlternateContent>
          <mc:Choice Requires="wps">
            <w:drawing>
              <wp:inline distT="0" distB="0" distL="0" distR="0">
                <wp:extent cx="6010275" cy="802005"/>
                <wp:effectExtent l="28575" t="28575" r="28575" b="36195"/>
                <wp:docPr id="9"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802005"/>
                        </a:xfrm>
                        <a:prstGeom prst="roundRect">
                          <a:avLst>
                            <a:gd name="adj" fmla="val 16667"/>
                          </a:avLst>
                        </a:prstGeom>
                        <a:solidFill>
                          <a:srgbClr val="FFFFFF"/>
                        </a:solidFill>
                        <a:ln w="57150" cmpd="thickThin">
                          <a:solidFill>
                            <a:srgbClr val="8DB3E2"/>
                          </a:solidFill>
                          <a:round/>
                        </a:ln>
                      </wps:spPr>
                      <wps:txbx>
                        <w:txbxContent>
                          <w:p w:rsidR="0081060D" w:rsidRPr="00240208" w:rsidRDefault="000E3119">
                            <w:pPr>
                              <w:spacing w:before="240" w:after="0" w:line="240" w:lineRule="auto"/>
                              <w:jc w:val="center"/>
                            </w:pPr>
                            <w:r w:rsidRPr="00240208">
                              <w:rPr>
                                <w:rFonts w:ascii="Arial" w:eastAsia="Arial" w:hAnsi="Arial" w:cs="Arial"/>
                                <w:b/>
                                <w:color w:val="000000"/>
                                <w:sz w:val="32"/>
                              </w:rPr>
                              <w:t>Protection des Données et Cybersécurité en EAU</w:t>
                            </w:r>
                          </w:p>
                          <w:p w:rsidR="0081060D" w:rsidRDefault="0081060D">
                            <w:pPr>
                              <w:spacing w:before="240" w:after="0" w:line="240" w:lineRule="auto"/>
                              <w:jc w:val="center"/>
                              <w:rPr>
                                <w:rFonts w:ascii="Arial" w:hAnsi="Arial"/>
                                <w:b/>
                                <w:bCs/>
                                <w:sz w:val="32"/>
                                <w:szCs w:val="32"/>
                              </w:rPr>
                            </w:pPr>
                          </w:p>
                        </w:txbxContent>
                      </wps:txbx>
                      <wps:bodyPr rot="0" vert="horz" wrap="square" lIns="91440" tIns="45720" rIns="91440" bIns="45720" anchor="t" anchorCtr="0" upright="1">
                        <a:noAutofit/>
                      </wps:bodyPr>
                    </wps:wsp>
                  </a:graphicData>
                </a:graphic>
              </wp:inline>
            </w:drawing>
          </mc:Choice>
          <mc:Fallback>
            <w:pict>
              <v:roundrect id="AutoShape 45" o:spid="_x0000_s1026" style="width:473.25pt;height:63.1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" strokecolor="#8db3e2" strokeweight="4.5pt">
                <v:stroke linestyle="thickThin"/>
                <v:textbox>
                  <w:txbxContent>
                    <w:p w:rsidR="0081060D" w:rsidRPr="00240208" w:rsidRDefault="000E3119">
                      <w:pPr>
                        <w:spacing w:before="240" w:after="0" w:line="240" w:lineRule="auto"/>
                        <w:jc w:val="center"/>
                      </w:pPr>
                      <w:r w:rsidRPr="00240208">
                        <w:rPr>
                          <w:rFonts w:ascii="Arial" w:eastAsia="Arial" w:hAnsi="Arial" w:cs="Arial"/>
                          <w:b/>
                          <w:color w:val="000000"/>
                          <w:sz w:val="32"/>
                        </w:rPr>
                        <w:t>Protection des Données et Cybersécurité en EAU</w:t>
                      </w:r>
                    </w:p>
                    <w:p w:rsidR="0081060D" w:rsidRDefault="0081060D">
                      <w:pPr>
                        <w:spacing w:before="240" w:after="0" w:line="240" w:lineRule="auto"/>
                        <w:jc w:val="center"/>
                        <w:rPr>
                          <w:rFonts w:ascii="Arial" w:hAnsi="Arial"/>
                          <w:b/>
                          <w:bCs/>
                          <w:sz w:val="32"/>
                          <w:szCs w:val="32"/>
                        </w:rPr>
                      </w:pPr>
                    </w:p>
                  </w:txbxContent>
                </v:textbox>
                <w10:anchorlock/>
              </v:roundrect>
            </w:pict>
          </mc:Fallback>
        </mc:AlternateContent>
      </w:r>
    </w:p>
    <w:p w:rsidR="0081060D" w:rsidRDefault="0081060D">
      <w:pPr>
        <w:tabs>
          <w:tab w:val="center" w:pos="4365"/>
          <w:tab w:val="left" w:pos="8656"/>
        </w:tabs>
        <w:spacing w:after="0" w:line="240" w:lineRule="auto"/>
        <w:ind w:right="426"/>
        <w:jc w:val="center"/>
        <w:rPr>
          <w:rFonts w:ascii="Sakkal Majalla" w:eastAsia="Simplified Arabic" w:hAnsi="Sakkal Majalla" w:cs="Simplified Arabic"/>
          <w:b/>
          <w:bCs/>
          <w:i/>
          <w:iCs/>
          <w:color w:val="FF0000"/>
          <w:sz w:val="32"/>
          <w:szCs w:val="28"/>
        </w:rPr>
      </w:pPr>
    </w:p>
    <w:p w:rsidR="0081060D" w:rsidRDefault="0081060D">
      <w:pPr>
        <w:tabs>
          <w:tab w:val="center" w:pos="4365"/>
          <w:tab w:val="left" w:pos="8656"/>
        </w:tabs>
        <w:spacing w:after="0" w:line="240" w:lineRule="auto"/>
        <w:ind w:right="426"/>
        <w:jc w:val="center"/>
        <w:rPr>
          <w:rFonts w:ascii="Sakkal Majalla" w:hAnsi="Sakkal Majalla" w:cs="Simplified Arabic"/>
          <w:b/>
          <w:bCs/>
          <w:color w:val="000000"/>
          <w:sz w:val="32"/>
          <w:szCs w:val="28"/>
        </w:rPr>
      </w:pPr>
    </w:p>
    <w:p w:rsidR="0081060D" w:rsidRDefault="000E3119">
      <w:pPr>
        <w:tabs>
          <w:tab w:val="center" w:pos="4365"/>
          <w:tab w:val="left" w:pos="8656"/>
        </w:tabs>
        <w:spacing w:after="0" w:line="240" w:lineRule="auto"/>
        <w:ind w:right="426"/>
        <w:jc w:val="center"/>
        <w:rPr>
          <w:rFonts w:ascii="Sakkal Majalla" w:eastAsia="Sakkal Majalla" w:hAnsi="Sakkal Majalla" w:cs="Sakkal Majalla"/>
          <w:color w:val="000000"/>
          <w:sz w:val="32"/>
          <w:szCs w:val="32"/>
        </w:rPr>
      </w:pPr>
      <w:r>
        <w:rPr>
          <w:rFonts w:ascii="Sakkal Majalla" w:hAnsi="Sakkal Majalla" w:cs="Simplified Arabic"/>
          <w:b/>
          <w:bCs/>
          <w:color w:val="000000"/>
          <w:sz w:val="32"/>
          <w:szCs w:val="28"/>
        </w:rPr>
        <w:t xml:space="preserve">Présenté par : </w:t>
      </w:r>
      <w:r>
        <w:rPr>
          <w:rFonts w:ascii="Sakkal Majalla" w:eastAsia="Sakkal Majalla" w:hAnsi="Sakkal Majalla" w:cs="Sakkal Majalla"/>
          <w:color w:val="000000"/>
          <w:sz w:val="32"/>
          <w:szCs w:val="32"/>
        </w:rPr>
        <w:t>SELOUGHA Mohamed Achraf</w:t>
      </w:r>
      <w:r>
        <w:rPr>
          <w:rFonts w:ascii="Sakkal Majalla" w:hAnsi="Sakkal Majalla" w:cs="Simplified Arabic"/>
          <w:color w:val="000000"/>
          <w:sz w:val="32"/>
          <w:szCs w:val="28"/>
        </w:rPr>
        <w:t xml:space="preserve">                                   </w:t>
      </w:r>
    </w:p>
    <w:p w:rsidR="0081060D" w:rsidRDefault="0081060D">
      <w:pPr>
        <w:tabs>
          <w:tab w:val="center" w:pos="4365"/>
          <w:tab w:val="left" w:pos="8656"/>
        </w:tabs>
        <w:spacing w:after="0" w:line="240" w:lineRule="auto"/>
        <w:ind w:right="426"/>
        <w:jc w:val="center"/>
        <w:rPr>
          <w:rFonts w:ascii="Sakkal Majalla" w:eastAsia="Sakkal Majalla" w:hAnsi="Sakkal Majalla" w:cs="Sakkal Majalla"/>
          <w:color w:val="000000"/>
          <w:sz w:val="32"/>
          <w:szCs w:val="32"/>
        </w:rPr>
      </w:pPr>
    </w:p>
    <w:p w:rsidR="0081060D" w:rsidRDefault="0081060D">
      <w:pPr>
        <w:tabs>
          <w:tab w:val="center" w:pos="4365"/>
          <w:tab w:val="left" w:pos="8656"/>
        </w:tabs>
        <w:spacing w:after="0" w:line="240" w:lineRule="auto"/>
        <w:ind w:right="426"/>
        <w:rPr>
          <w:rFonts w:ascii="Sakkal Majalla" w:hAnsi="Sakkal Majalla" w:cs="Simplified Arabic"/>
          <w:color w:val="000000"/>
          <w:sz w:val="32"/>
          <w:szCs w:val="28"/>
        </w:rPr>
      </w:pPr>
    </w:p>
    <w:p w:rsidR="0081060D" w:rsidRDefault="0081060D">
      <w:pPr>
        <w:jc w:val="center"/>
        <w:rPr>
          <w:rFonts w:ascii="Sakkal Majalla" w:hAnsi="Sakkal Majalla"/>
          <w:b/>
          <w:bCs/>
          <w:sz w:val="32"/>
          <w:szCs w:val="32"/>
        </w:rPr>
      </w:pPr>
    </w:p>
    <w:p w:rsidR="0081060D" w:rsidRDefault="0081060D">
      <w:pPr>
        <w:rPr>
          <w:rFonts w:ascii="Sakkal Majalla" w:hAnsi="Sakkal Majalla"/>
          <w:b/>
          <w:bCs/>
          <w:sz w:val="32"/>
          <w:szCs w:val="32"/>
        </w:rPr>
      </w:pPr>
    </w:p>
    <w:p w:rsidR="0081060D" w:rsidRDefault="0081060D">
      <w:pPr>
        <w:rPr>
          <w:rFonts w:ascii="Sakkal Majalla" w:hAnsi="Sakkal Majalla"/>
          <w:b/>
          <w:bCs/>
          <w:sz w:val="28"/>
          <w:szCs w:val="28"/>
        </w:rPr>
      </w:pPr>
    </w:p>
    <w:p w:rsidR="00240208" w:rsidRDefault="00240208">
      <w:pPr>
        <w:rPr>
          <w:rFonts w:ascii="Sakkal Majalla" w:hAnsi="Sakkal Majalla"/>
          <w:b/>
          <w:bCs/>
          <w:sz w:val="28"/>
          <w:szCs w:val="28"/>
        </w:rPr>
      </w:pPr>
    </w:p>
    <w:p w:rsidR="00240208" w:rsidRDefault="00240208">
      <w:pPr>
        <w:rPr>
          <w:rFonts w:ascii="Sakkal Majalla" w:hAnsi="Sakkal Majalla"/>
          <w:b/>
          <w:bCs/>
          <w:sz w:val="28"/>
          <w:szCs w:val="28"/>
        </w:rPr>
      </w:pPr>
    </w:p>
    <w:p w:rsidR="0081060D" w:rsidRDefault="0081060D">
      <w:pPr>
        <w:rPr>
          <w:rFonts w:ascii="Sakkal Majalla" w:hAnsi="Sakkal Majalla"/>
          <w:b/>
          <w:bCs/>
          <w:sz w:val="28"/>
          <w:szCs w:val="28"/>
        </w:rPr>
      </w:pPr>
    </w:p>
    <w:p w:rsidR="0081060D" w:rsidRPr="00240208" w:rsidRDefault="000E3119">
      <w:pPr>
        <w:tabs>
          <w:tab w:val="left" w:pos="9315"/>
        </w:tabs>
        <w:jc w:val="center"/>
        <w:rPr>
          <w:rFonts w:ascii="Sakkal Majalla" w:hAnsi="Sakkal Majalla" w:cs="Sakkal Majalla"/>
          <w:b/>
          <w:bCs/>
          <w:sz w:val="28"/>
          <w:szCs w:val="28"/>
        </w:rPr>
      </w:pPr>
      <w:r>
        <w:rPr>
          <w:rFonts w:ascii="Sakkal Majalla" w:eastAsia="Sakkal Majalla" w:hAnsi="Sakkal Majalla" w:cs="Sakkal Majalla"/>
          <w:b/>
          <w:sz w:val="28"/>
          <w:szCs w:val="28"/>
        </w:rPr>
        <w:t>Année Universitaire : 202</w:t>
      </w:r>
      <w:r w:rsidRPr="00240208">
        <w:rPr>
          <w:rFonts w:ascii="Sakkal Majalla" w:eastAsia="Sakkal Majalla" w:hAnsi="Sakkal Majalla" w:cs="Sakkal Majalla"/>
          <w:b/>
          <w:sz w:val="28"/>
          <w:szCs w:val="28"/>
        </w:rPr>
        <w:t>4</w:t>
      </w:r>
      <w:r>
        <w:rPr>
          <w:rFonts w:ascii="Sakkal Majalla" w:eastAsia="Sakkal Majalla" w:hAnsi="Sakkal Majalla" w:cs="Sakkal Majalla"/>
          <w:b/>
          <w:sz w:val="28"/>
          <w:szCs w:val="28"/>
        </w:rPr>
        <w:t>/202</w:t>
      </w:r>
      <w:r w:rsidRPr="00240208">
        <w:rPr>
          <w:rFonts w:ascii="Sakkal Majalla" w:eastAsia="Sakkal Majalla" w:hAnsi="Sakkal Majalla" w:cs="Sakkal Majalla"/>
          <w:b/>
          <w:sz w:val="28"/>
          <w:szCs w:val="28"/>
        </w:rPr>
        <w:t>5</w:t>
      </w:r>
    </w:p>
    <w:p w:rsidR="0081060D" w:rsidRDefault="0081060D">
      <w:pPr>
        <w:tabs>
          <w:tab w:val="left" w:pos="9315"/>
        </w:tabs>
        <w:jc w:val="center"/>
        <w:rPr>
          <w:rFonts w:ascii="Sakkal Majalla" w:hAnsi="Sakkal Majalla" w:cs="Sakkal Majalla"/>
          <w:b/>
          <w:bCs/>
          <w:sz w:val="28"/>
          <w:szCs w:val="28"/>
        </w:rPr>
        <w:sectPr w:rsidR="0081060D">
          <w:pgSz w:w="11906" w:h="16838"/>
          <w:pgMar w:top="806" w:right="1134" w:bottom="1134" w:left="709" w:header="709" w:footer="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08"/>
          <w:docGrid w:linePitch="360"/>
        </w:sectPr>
      </w:pPr>
    </w:p>
    <w:p w:rsidR="0081060D" w:rsidRDefault="000E3119">
      <w:pPr>
        <w:pStyle w:val="Titre1"/>
      </w:pPr>
      <w:bookmarkStart w:id="1" w:name="_Toc167113184"/>
      <w:bookmarkStart w:id="2" w:name="_Toc199703852"/>
      <w:r>
        <w:lastRenderedPageBreak/>
        <w:t>Table des matières</w:t>
      </w:r>
      <w:bookmarkEnd w:id="1"/>
      <w:bookmarkEnd w:id="2"/>
    </w:p>
    <w:sdt>
      <w:sdtPr>
        <w:rPr>
          <w:rFonts w:ascii="Times New Roman" w:eastAsia="Times New Roman" w:hAnsi="Times New Roman" w:cs="Times New Roman"/>
          <w:b w:val="0"/>
          <w:bCs w:val="0"/>
          <w:color w:val="auto"/>
          <w:sz w:val="24"/>
          <w:szCs w:val="24"/>
          <w:lang w:eastAsia="fr-FR"/>
        </w:rPr>
        <w:id w:val="1122035321"/>
        <w:docPartObj>
          <w:docPartGallery w:val="Table of Contents"/>
          <w:docPartUnique/>
        </w:docPartObj>
      </w:sdtPr>
      <w:sdtEndPr/>
      <w:sdtContent>
        <w:p w:rsidR="0081060D" w:rsidRDefault="0081060D">
          <w:pPr>
            <w:pStyle w:val="En-ttedetabledesmatires1"/>
            <w:spacing w:before="0" w:line="240" w:lineRule="auto"/>
          </w:pPr>
        </w:p>
        <w:p w:rsidR="00240208" w:rsidRDefault="000E3119">
          <w:pPr>
            <w:pStyle w:val="TM1"/>
            <w:tabs>
              <w:tab w:val="right" w:leader="dot" w:pos="10195"/>
            </w:tabs>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199703852" w:history="1">
            <w:r w:rsidR="00240208" w:rsidRPr="00BC1A08">
              <w:rPr>
                <w:rStyle w:val="Lienhypertexte"/>
                <w:noProof/>
              </w:rPr>
              <w:t>Table des matières</w:t>
            </w:r>
            <w:r w:rsidR="00240208">
              <w:rPr>
                <w:noProof/>
                <w:webHidden/>
              </w:rPr>
              <w:tab/>
            </w:r>
            <w:r w:rsidR="00240208">
              <w:rPr>
                <w:noProof/>
                <w:webHidden/>
              </w:rPr>
              <w:fldChar w:fldCharType="begin"/>
            </w:r>
            <w:r w:rsidR="00240208">
              <w:rPr>
                <w:noProof/>
                <w:webHidden/>
              </w:rPr>
              <w:instrText xml:space="preserve"> PAGEREF _Toc199703852 \h </w:instrText>
            </w:r>
            <w:r w:rsidR="00240208">
              <w:rPr>
                <w:noProof/>
                <w:webHidden/>
              </w:rPr>
            </w:r>
            <w:r w:rsidR="00240208">
              <w:rPr>
                <w:noProof/>
                <w:webHidden/>
              </w:rPr>
              <w:fldChar w:fldCharType="separate"/>
            </w:r>
            <w:r w:rsidR="00240208">
              <w:rPr>
                <w:noProof/>
                <w:webHidden/>
              </w:rPr>
              <w:t>2</w:t>
            </w:r>
            <w:r w:rsidR="00240208">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53" w:history="1">
            <w:r w:rsidRPr="00BC1A08">
              <w:rPr>
                <w:rStyle w:val="Lienhypertexte"/>
                <w:noProof/>
              </w:rPr>
              <w:t>Table des figures</w:t>
            </w:r>
            <w:r>
              <w:rPr>
                <w:noProof/>
                <w:webHidden/>
              </w:rPr>
              <w:tab/>
            </w:r>
            <w:r>
              <w:rPr>
                <w:noProof/>
                <w:webHidden/>
              </w:rPr>
              <w:fldChar w:fldCharType="begin"/>
            </w:r>
            <w:r>
              <w:rPr>
                <w:noProof/>
                <w:webHidden/>
              </w:rPr>
              <w:instrText xml:space="preserve"> PAGEREF _Toc199703853 \h </w:instrText>
            </w:r>
            <w:r>
              <w:rPr>
                <w:noProof/>
                <w:webHidden/>
              </w:rPr>
            </w:r>
            <w:r>
              <w:rPr>
                <w:noProof/>
                <w:webHidden/>
              </w:rPr>
              <w:fldChar w:fldCharType="separate"/>
            </w:r>
            <w:r>
              <w:rPr>
                <w:noProof/>
                <w:webHidden/>
              </w:rPr>
              <w:t>3</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54" w:history="1">
            <w:r w:rsidRPr="00BC1A08">
              <w:rPr>
                <w:rStyle w:val="Lienhypertexte"/>
                <w:noProof/>
              </w:rPr>
              <w:t>Introduction</w:t>
            </w:r>
            <w:r>
              <w:rPr>
                <w:noProof/>
                <w:webHidden/>
              </w:rPr>
              <w:tab/>
            </w:r>
            <w:r>
              <w:rPr>
                <w:noProof/>
                <w:webHidden/>
              </w:rPr>
              <w:fldChar w:fldCharType="begin"/>
            </w:r>
            <w:r>
              <w:rPr>
                <w:noProof/>
                <w:webHidden/>
              </w:rPr>
              <w:instrText xml:space="preserve"> PAGEREF _Toc199703854 \h </w:instrText>
            </w:r>
            <w:r>
              <w:rPr>
                <w:noProof/>
                <w:webHidden/>
              </w:rPr>
            </w:r>
            <w:r>
              <w:rPr>
                <w:noProof/>
                <w:webHidden/>
              </w:rPr>
              <w:fldChar w:fldCharType="separate"/>
            </w:r>
            <w:r>
              <w:rPr>
                <w:noProof/>
                <w:webHidden/>
              </w:rPr>
              <w:t>4</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55" w:history="1">
            <w:r w:rsidRPr="00BC1A08">
              <w:rPr>
                <w:rStyle w:val="Lienhypertexte"/>
                <w:noProof/>
              </w:rPr>
              <w:t>Instance de Protection des Données Personnelles</w:t>
            </w:r>
            <w:r>
              <w:rPr>
                <w:noProof/>
                <w:webHidden/>
              </w:rPr>
              <w:tab/>
            </w:r>
            <w:r>
              <w:rPr>
                <w:noProof/>
                <w:webHidden/>
              </w:rPr>
              <w:fldChar w:fldCharType="begin"/>
            </w:r>
            <w:r>
              <w:rPr>
                <w:noProof/>
                <w:webHidden/>
              </w:rPr>
              <w:instrText xml:space="preserve"> PAGEREF _Toc199703855 \h </w:instrText>
            </w:r>
            <w:r>
              <w:rPr>
                <w:noProof/>
                <w:webHidden/>
              </w:rPr>
            </w:r>
            <w:r>
              <w:rPr>
                <w:noProof/>
                <w:webHidden/>
              </w:rPr>
              <w:fldChar w:fldCharType="separate"/>
            </w:r>
            <w:r>
              <w:rPr>
                <w:noProof/>
                <w:webHidden/>
              </w:rPr>
              <w:t>5</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56" w:history="1">
            <w:r w:rsidRPr="00BC1A08">
              <w:rPr>
                <w:rStyle w:val="Lienhypertexte"/>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BC1A08">
              <w:rPr>
                <w:rStyle w:val="Lienhypertexte"/>
                <w:noProof/>
              </w:rPr>
              <w:t>UAE Data Office</w:t>
            </w:r>
            <w:r>
              <w:rPr>
                <w:noProof/>
                <w:webHidden/>
              </w:rPr>
              <w:tab/>
            </w:r>
            <w:r>
              <w:rPr>
                <w:noProof/>
                <w:webHidden/>
              </w:rPr>
              <w:fldChar w:fldCharType="begin"/>
            </w:r>
            <w:r>
              <w:rPr>
                <w:noProof/>
                <w:webHidden/>
              </w:rPr>
              <w:instrText xml:space="preserve"> PAGEREF _Toc199703856 \h </w:instrText>
            </w:r>
            <w:r>
              <w:rPr>
                <w:noProof/>
                <w:webHidden/>
              </w:rPr>
            </w:r>
            <w:r>
              <w:rPr>
                <w:noProof/>
                <w:webHidden/>
              </w:rPr>
              <w:fldChar w:fldCharType="separate"/>
            </w:r>
            <w:r>
              <w:rPr>
                <w:noProof/>
                <w:webHidden/>
              </w:rPr>
              <w:t>5</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57" w:history="1">
            <w:r w:rsidRPr="00BC1A08">
              <w:rPr>
                <w:rStyle w:val="Lienhypertexte"/>
                <w:rFonts w:eastAsia="Cambria"/>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BC1A08">
              <w:rPr>
                <w:rStyle w:val="Lienhypertexte"/>
                <w:rFonts w:eastAsia="Cambria"/>
                <w:noProof/>
              </w:rPr>
              <w:t>Rôles et responsabilités</w:t>
            </w:r>
            <w:r>
              <w:rPr>
                <w:noProof/>
                <w:webHidden/>
              </w:rPr>
              <w:tab/>
            </w:r>
            <w:r>
              <w:rPr>
                <w:noProof/>
                <w:webHidden/>
              </w:rPr>
              <w:fldChar w:fldCharType="begin"/>
            </w:r>
            <w:r>
              <w:rPr>
                <w:noProof/>
                <w:webHidden/>
              </w:rPr>
              <w:instrText xml:space="preserve"> PAGEREF _Toc199703857 \h </w:instrText>
            </w:r>
            <w:r>
              <w:rPr>
                <w:noProof/>
                <w:webHidden/>
              </w:rPr>
            </w:r>
            <w:r>
              <w:rPr>
                <w:noProof/>
                <w:webHidden/>
              </w:rPr>
              <w:fldChar w:fldCharType="separate"/>
            </w:r>
            <w:r>
              <w:rPr>
                <w:noProof/>
                <w:webHidden/>
              </w:rPr>
              <w:t>5</w:t>
            </w:r>
            <w:r>
              <w:rPr>
                <w:noProof/>
                <w:webHidden/>
              </w:rPr>
              <w:fldChar w:fldCharType="end"/>
            </w:r>
          </w:hyperlink>
        </w:p>
        <w:p w:rsidR="00240208" w:rsidRDefault="00240208">
          <w:pPr>
            <w:pStyle w:val="TM3"/>
            <w:tabs>
              <w:tab w:val="left" w:pos="1100"/>
              <w:tab w:val="right" w:leader="dot" w:pos="10195"/>
            </w:tabs>
            <w:rPr>
              <w:noProof/>
              <w:sz w:val="22"/>
              <w:lang w:eastAsia="fr-FR"/>
            </w:rPr>
          </w:pPr>
          <w:hyperlink w:anchor="_Toc199703858" w:history="1">
            <w:r w:rsidRPr="00BC1A08">
              <w:rPr>
                <w:rStyle w:val="Lienhypertexte"/>
                <w:noProof/>
              </w:rPr>
              <w:t>2.1.</w:t>
            </w:r>
            <w:r>
              <w:rPr>
                <w:noProof/>
                <w:sz w:val="22"/>
                <w:lang w:eastAsia="fr-FR"/>
              </w:rPr>
              <w:tab/>
            </w:r>
            <w:r w:rsidRPr="00BC1A08">
              <w:rPr>
                <w:rStyle w:val="Lienhypertexte"/>
                <w:noProof/>
              </w:rPr>
              <w:t>Fonctions Principales</w:t>
            </w:r>
            <w:r>
              <w:rPr>
                <w:noProof/>
                <w:webHidden/>
              </w:rPr>
              <w:tab/>
            </w:r>
            <w:r>
              <w:rPr>
                <w:noProof/>
                <w:webHidden/>
              </w:rPr>
              <w:fldChar w:fldCharType="begin"/>
            </w:r>
            <w:r>
              <w:rPr>
                <w:noProof/>
                <w:webHidden/>
              </w:rPr>
              <w:instrText xml:space="preserve"> PAGEREF _Toc199703858 \h </w:instrText>
            </w:r>
            <w:r>
              <w:rPr>
                <w:noProof/>
                <w:webHidden/>
              </w:rPr>
            </w:r>
            <w:r>
              <w:rPr>
                <w:noProof/>
                <w:webHidden/>
              </w:rPr>
              <w:fldChar w:fldCharType="separate"/>
            </w:r>
            <w:r>
              <w:rPr>
                <w:noProof/>
                <w:webHidden/>
              </w:rPr>
              <w:t>5</w:t>
            </w:r>
            <w:r>
              <w:rPr>
                <w:noProof/>
                <w:webHidden/>
              </w:rPr>
              <w:fldChar w:fldCharType="end"/>
            </w:r>
          </w:hyperlink>
        </w:p>
        <w:p w:rsidR="00240208" w:rsidRDefault="00240208">
          <w:pPr>
            <w:pStyle w:val="TM3"/>
            <w:tabs>
              <w:tab w:val="left" w:pos="1100"/>
              <w:tab w:val="right" w:leader="dot" w:pos="10195"/>
            </w:tabs>
            <w:rPr>
              <w:noProof/>
              <w:sz w:val="22"/>
              <w:lang w:eastAsia="fr-FR"/>
            </w:rPr>
          </w:pPr>
          <w:hyperlink w:anchor="_Toc199703859" w:history="1">
            <w:r w:rsidRPr="00BC1A08">
              <w:rPr>
                <w:rStyle w:val="Lienhypertexte"/>
                <w:noProof/>
              </w:rPr>
              <w:t>2.2.</w:t>
            </w:r>
            <w:r>
              <w:rPr>
                <w:noProof/>
                <w:sz w:val="22"/>
                <w:lang w:eastAsia="fr-FR"/>
              </w:rPr>
              <w:tab/>
            </w:r>
            <w:r w:rsidRPr="00BC1A08">
              <w:rPr>
                <w:rStyle w:val="Lienhypertexte"/>
                <w:noProof/>
              </w:rPr>
              <w:t>Rôle dans l'Application de la PDPL</w:t>
            </w:r>
            <w:r>
              <w:rPr>
                <w:noProof/>
                <w:webHidden/>
              </w:rPr>
              <w:tab/>
            </w:r>
            <w:r>
              <w:rPr>
                <w:noProof/>
                <w:webHidden/>
              </w:rPr>
              <w:fldChar w:fldCharType="begin"/>
            </w:r>
            <w:r>
              <w:rPr>
                <w:noProof/>
                <w:webHidden/>
              </w:rPr>
              <w:instrText xml:space="preserve"> PAGEREF _Toc199703859 \h </w:instrText>
            </w:r>
            <w:r>
              <w:rPr>
                <w:noProof/>
                <w:webHidden/>
              </w:rPr>
            </w:r>
            <w:r>
              <w:rPr>
                <w:noProof/>
                <w:webHidden/>
              </w:rPr>
              <w:fldChar w:fldCharType="separate"/>
            </w:r>
            <w:r>
              <w:rPr>
                <w:noProof/>
                <w:webHidden/>
              </w:rPr>
              <w:t>5</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60" w:history="1">
            <w:r w:rsidRPr="00BC1A08">
              <w:rPr>
                <w:rStyle w:val="Lienhypertexte"/>
                <w:noProof/>
              </w:rPr>
              <w:t>Lois sur les équipements sensibles à savoir la cryptographie</w:t>
            </w:r>
            <w:r>
              <w:rPr>
                <w:noProof/>
                <w:webHidden/>
              </w:rPr>
              <w:tab/>
            </w:r>
            <w:r>
              <w:rPr>
                <w:noProof/>
                <w:webHidden/>
              </w:rPr>
              <w:fldChar w:fldCharType="begin"/>
            </w:r>
            <w:r>
              <w:rPr>
                <w:noProof/>
                <w:webHidden/>
              </w:rPr>
              <w:instrText xml:space="preserve"> PAGEREF _Toc199703860 \h </w:instrText>
            </w:r>
            <w:r>
              <w:rPr>
                <w:noProof/>
                <w:webHidden/>
              </w:rPr>
            </w:r>
            <w:r>
              <w:rPr>
                <w:noProof/>
                <w:webHidden/>
              </w:rPr>
              <w:fldChar w:fldCharType="separate"/>
            </w:r>
            <w:r>
              <w:rPr>
                <w:noProof/>
                <w:webHidden/>
              </w:rPr>
              <w:t>7</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1" w:history="1">
            <w:r w:rsidRPr="00BC1A08">
              <w:rPr>
                <w:rStyle w:val="Lienhypertexte"/>
                <w:rFonts w:eastAsia="Cambria"/>
                <w:noProof/>
                <w:lang w:val="en-US"/>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BC1A08">
              <w:rPr>
                <w:rStyle w:val="Lienhypertexte"/>
                <w:rFonts w:eastAsia="Cambria"/>
                <w:noProof/>
                <w:lang w:val="en-US"/>
              </w:rPr>
              <w:t>Federal Decree-Law on Combatting Rumors and Cybercrimes [6]</w:t>
            </w:r>
            <w:r>
              <w:rPr>
                <w:noProof/>
                <w:webHidden/>
              </w:rPr>
              <w:tab/>
            </w:r>
            <w:r>
              <w:rPr>
                <w:noProof/>
                <w:webHidden/>
              </w:rPr>
              <w:fldChar w:fldCharType="begin"/>
            </w:r>
            <w:r>
              <w:rPr>
                <w:noProof/>
                <w:webHidden/>
              </w:rPr>
              <w:instrText xml:space="preserve"> PAGEREF _Toc199703861 \h </w:instrText>
            </w:r>
            <w:r>
              <w:rPr>
                <w:noProof/>
                <w:webHidden/>
              </w:rPr>
            </w:r>
            <w:r>
              <w:rPr>
                <w:noProof/>
                <w:webHidden/>
              </w:rPr>
              <w:fldChar w:fldCharType="separate"/>
            </w:r>
            <w:r>
              <w:rPr>
                <w:noProof/>
                <w:webHidden/>
              </w:rPr>
              <w:t>7</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2" w:history="1">
            <w:r w:rsidRPr="00BC1A08">
              <w:rPr>
                <w:rStyle w:val="Lienhypertexte"/>
                <w:rFonts w:eastAsia="Cambria"/>
                <w:noProof/>
                <w:lang w:val="en-US"/>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BC1A08">
              <w:rPr>
                <w:rStyle w:val="Lienhypertexte"/>
                <w:rFonts w:eastAsia="Cambria"/>
                <w:noProof/>
                <w:lang w:val="en-US"/>
              </w:rPr>
              <w:t>Federal Decree-Law on Crimes and Penalties [7]</w:t>
            </w:r>
            <w:r>
              <w:rPr>
                <w:noProof/>
                <w:webHidden/>
              </w:rPr>
              <w:tab/>
            </w:r>
            <w:r>
              <w:rPr>
                <w:noProof/>
                <w:webHidden/>
              </w:rPr>
              <w:fldChar w:fldCharType="begin"/>
            </w:r>
            <w:r>
              <w:rPr>
                <w:noProof/>
                <w:webHidden/>
              </w:rPr>
              <w:instrText xml:space="preserve"> PAGEREF _Toc199703862 \h </w:instrText>
            </w:r>
            <w:r>
              <w:rPr>
                <w:noProof/>
                <w:webHidden/>
              </w:rPr>
            </w:r>
            <w:r>
              <w:rPr>
                <w:noProof/>
                <w:webHidden/>
              </w:rPr>
              <w:fldChar w:fldCharType="separate"/>
            </w:r>
            <w:r>
              <w:rPr>
                <w:noProof/>
                <w:webHidden/>
              </w:rPr>
              <w:t>7</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3" w:history="1">
            <w:r w:rsidRPr="00BC1A08">
              <w:rPr>
                <w:rStyle w:val="Lienhypertexte"/>
                <w:rFonts w:eastAsia="Cambria"/>
                <w:noProof/>
                <w:lang w:val="en-US"/>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BC1A08">
              <w:rPr>
                <w:rStyle w:val="Lienhypertexte"/>
                <w:rFonts w:eastAsia="Cambria"/>
                <w:noProof/>
                <w:lang w:val="en-US"/>
              </w:rPr>
              <w:t>Federal Decree-Law on Electronic Transactions and Trust Services [8]</w:t>
            </w:r>
            <w:r>
              <w:rPr>
                <w:noProof/>
                <w:webHidden/>
              </w:rPr>
              <w:tab/>
            </w:r>
            <w:r>
              <w:rPr>
                <w:noProof/>
                <w:webHidden/>
              </w:rPr>
              <w:fldChar w:fldCharType="begin"/>
            </w:r>
            <w:r>
              <w:rPr>
                <w:noProof/>
                <w:webHidden/>
              </w:rPr>
              <w:instrText xml:space="preserve"> PAGEREF _Toc199703863 \h </w:instrText>
            </w:r>
            <w:r>
              <w:rPr>
                <w:noProof/>
                <w:webHidden/>
              </w:rPr>
            </w:r>
            <w:r>
              <w:rPr>
                <w:noProof/>
                <w:webHidden/>
              </w:rPr>
              <w:fldChar w:fldCharType="separate"/>
            </w:r>
            <w:r>
              <w:rPr>
                <w:noProof/>
                <w:webHidden/>
              </w:rPr>
              <w:t>8</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4" w:history="1">
            <w:r w:rsidRPr="00BC1A08">
              <w:rPr>
                <w:rStyle w:val="Lienhypertexte"/>
                <w:rFonts w:eastAsia="Cambria"/>
                <w:noProof/>
                <w:lang w:val="en-US"/>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Pr>
              <w:tab/>
            </w:r>
            <w:r w:rsidRPr="00BC1A08">
              <w:rPr>
                <w:rStyle w:val="Lienhypertexte"/>
                <w:rFonts w:eastAsia="Cambria"/>
                <w:noProof/>
                <w:lang w:val="en-US"/>
              </w:rPr>
              <w:t>Federal Decree-Law promulgating the Criminal Procedures Law [9]</w:t>
            </w:r>
            <w:r>
              <w:rPr>
                <w:noProof/>
                <w:webHidden/>
              </w:rPr>
              <w:tab/>
            </w:r>
            <w:r>
              <w:rPr>
                <w:noProof/>
                <w:webHidden/>
              </w:rPr>
              <w:fldChar w:fldCharType="begin"/>
            </w:r>
            <w:r>
              <w:rPr>
                <w:noProof/>
                <w:webHidden/>
              </w:rPr>
              <w:instrText xml:space="preserve"> PAGEREF _Toc199703864 \h </w:instrText>
            </w:r>
            <w:r>
              <w:rPr>
                <w:noProof/>
                <w:webHidden/>
              </w:rPr>
            </w:r>
            <w:r>
              <w:rPr>
                <w:noProof/>
                <w:webHidden/>
              </w:rPr>
              <w:fldChar w:fldCharType="separate"/>
            </w:r>
            <w:r>
              <w:rPr>
                <w:noProof/>
                <w:webHidden/>
              </w:rPr>
              <w:t>8</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5" w:history="1">
            <w:r w:rsidRPr="00BC1A08">
              <w:rPr>
                <w:rStyle w:val="Lienhypertexte"/>
                <w:rFonts w:eastAsia="Cambria"/>
                <w:noProof/>
                <w:lang w:val="en-US"/>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rPr>
              <w:tab/>
            </w:r>
            <w:r w:rsidRPr="00BC1A08">
              <w:rPr>
                <w:rStyle w:val="Lienhypertexte"/>
                <w:rFonts w:eastAsia="Cambria"/>
                <w:noProof/>
                <w:lang w:val="en-US"/>
              </w:rPr>
              <w:t>Federal Decree-Law concerning the Protection of Personal Data [10]</w:t>
            </w:r>
            <w:r>
              <w:rPr>
                <w:noProof/>
                <w:webHidden/>
              </w:rPr>
              <w:tab/>
            </w:r>
            <w:r>
              <w:rPr>
                <w:noProof/>
                <w:webHidden/>
              </w:rPr>
              <w:fldChar w:fldCharType="begin"/>
            </w:r>
            <w:r>
              <w:rPr>
                <w:noProof/>
                <w:webHidden/>
              </w:rPr>
              <w:instrText xml:space="preserve"> PAGEREF _Toc199703865 \h </w:instrText>
            </w:r>
            <w:r>
              <w:rPr>
                <w:noProof/>
                <w:webHidden/>
              </w:rPr>
            </w:r>
            <w:r>
              <w:rPr>
                <w:noProof/>
                <w:webHidden/>
              </w:rPr>
              <w:fldChar w:fldCharType="separate"/>
            </w:r>
            <w:r>
              <w:rPr>
                <w:noProof/>
                <w:webHidden/>
              </w:rPr>
              <w:t>9</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66" w:history="1">
            <w:r w:rsidRPr="00BC1A08">
              <w:rPr>
                <w:rStyle w:val="Lienhypertexte"/>
                <w:noProof/>
              </w:rPr>
              <w:t>Le site gouvernemental des Émirats arabes unis</w:t>
            </w:r>
            <w:r>
              <w:rPr>
                <w:noProof/>
                <w:webHidden/>
              </w:rPr>
              <w:tab/>
            </w:r>
            <w:r>
              <w:rPr>
                <w:noProof/>
                <w:webHidden/>
              </w:rPr>
              <w:fldChar w:fldCharType="begin"/>
            </w:r>
            <w:r>
              <w:rPr>
                <w:noProof/>
                <w:webHidden/>
              </w:rPr>
              <w:instrText xml:space="preserve"> PAGEREF _Toc199703866 \h </w:instrText>
            </w:r>
            <w:r>
              <w:rPr>
                <w:noProof/>
                <w:webHidden/>
              </w:rPr>
            </w:r>
            <w:r>
              <w:rPr>
                <w:noProof/>
                <w:webHidden/>
              </w:rPr>
              <w:fldChar w:fldCharType="separate"/>
            </w:r>
            <w:r>
              <w:rPr>
                <w:noProof/>
                <w:webHidden/>
              </w:rPr>
              <w:t>10</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7" w:history="1">
            <w:r w:rsidRPr="00BC1A08">
              <w:rPr>
                <w:rStyle w:val="Lienhypertexte"/>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BC1A08">
              <w:rPr>
                <w:rStyle w:val="Lienhypertexte"/>
                <w:noProof/>
              </w:rPr>
              <w:t>Introduction</w:t>
            </w:r>
            <w:r>
              <w:rPr>
                <w:noProof/>
                <w:webHidden/>
              </w:rPr>
              <w:tab/>
            </w:r>
            <w:r>
              <w:rPr>
                <w:noProof/>
                <w:webHidden/>
              </w:rPr>
              <w:fldChar w:fldCharType="begin"/>
            </w:r>
            <w:r>
              <w:rPr>
                <w:noProof/>
                <w:webHidden/>
              </w:rPr>
              <w:instrText xml:space="preserve"> PAGEREF _Toc199703867 \h </w:instrText>
            </w:r>
            <w:r>
              <w:rPr>
                <w:noProof/>
                <w:webHidden/>
              </w:rPr>
            </w:r>
            <w:r>
              <w:rPr>
                <w:noProof/>
                <w:webHidden/>
              </w:rPr>
              <w:fldChar w:fldCharType="separate"/>
            </w:r>
            <w:r>
              <w:rPr>
                <w:noProof/>
                <w:webHidden/>
              </w:rPr>
              <w:t>10</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8" w:history="1">
            <w:r w:rsidRPr="00BC1A08">
              <w:rPr>
                <w:rStyle w:val="Lienhypertexte"/>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BC1A08">
              <w:rPr>
                <w:rStyle w:val="Lienhypertexte"/>
                <w:rFonts w:eastAsia="Cambria"/>
                <w:noProof/>
              </w:rPr>
              <w:t>Contenu de la plateforme</w:t>
            </w:r>
            <w:r>
              <w:rPr>
                <w:noProof/>
                <w:webHidden/>
              </w:rPr>
              <w:tab/>
            </w:r>
            <w:r>
              <w:rPr>
                <w:noProof/>
                <w:webHidden/>
              </w:rPr>
              <w:fldChar w:fldCharType="begin"/>
            </w:r>
            <w:r>
              <w:rPr>
                <w:noProof/>
                <w:webHidden/>
              </w:rPr>
              <w:instrText xml:space="preserve"> PAGEREF _Toc199703868 \h </w:instrText>
            </w:r>
            <w:r>
              <w:rPr>
                <w:noProof/>
                <w:webHidden/>
              </w:rPr>
            </w:r>
            <w:r>
              <w:rPr>
                <w:noProof/>
                <w:webHidden/>
              </w:rPr>
              <w:fldChar w:fldCharType="separate"/>
            </w:r>
            <w:r>
              <w:rPr>
                <w:noProof/>
                <w:webHidden/>
              </w:rPr>
              <w:t>10</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69" w:history="1">
            <w:r w:rsidRPr="00BC1A08">
              <w:rPr>
                <w:rStyle w:val="Lienhypertexte"/>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BC1A08">
              <w:rPr>
                <w:rStyle w:val="Lienhypertexte"/>
                <w:rFonts w:eastAsia="Cambria"/>
                <w:noProof/>
              </w:rPr>
              <w:t>Organisation des lois</w:t>
            </w:r>
            <w:r>
              <w:rPr>
                <w:noProof/>
                <w:webHidden/>
              </w:rPr>
              <w:tab/>
            </w:r>
            <w:r>
              <w:rPr>
                <w:noProof/>
                <w:webHidden/>
              </w:rPr>
              <w:fldChar w:fldCharType="begin"/>
            </w:r>
            <w:r>
              <w:rPr>
                <w:noProof/>
                <w:webHidden/>
              </w:rPr>
              <w:instrText xml:space="preserve"> PAGEREF _Toc199703869 \h </w:instrText>
            </w:r>
            <w:r>
              <w:rPr>
                <w:noProof/>
                <w:webHidden/>
              </w:rPr>
            </w:r>
            <w:r>
              <w:rPr>
                <w:noProof/>
                <w:webHidden/>
              </w:rPr>
              <w:fldChar w:fldCharType="separate"/>
            </w:r>
            <w:r>
              <w:rPr>
                <w:noProof/>
                <w:webHidden/>
              </w:rPr>
              <w:t>11</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70" w:history="1">
            <w:r w:rsidRPr="00BC1A08">
              <w:rPr>
                <w:rStyle w:val="Lienhypertexte"/>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Pr>
              <w:tab/>
            </w:r>
            <w:r w:rsidRPr="00BC1A08">
              <w:rPr>
                <w:rStyle w:val="Lienhypertexte"/>
                <w:rFonts w:eastAsia="Cambria"/>
                <w:noProof/>
              </w:rPr>
              <w:t>Exemple de législation</w:t>
            </w:r>
            <w:r>
              <w:rPr>
                <w:noProof/>
                <w:webHidden/>
              </w:rPr>
              <w:tab/>
            </w:r>
            <w:r>
              <w:rPr>
                <w:noProof/>
                <w:webHidden/>
              </w:rPr>
              <w:fldChar w:fldCharType="begin"/>
            </w:r>
            <w:r>
              <w:rPr>
                <w:noProof/>
                <w:webHidden/>
              </w:rPr>
              <w:instrText xml:space="preserve"> PAGEREF _Toc199703870 \h </w:instrText>
            </w:r>
            <w:r>
              <w:rPr>
                <w:noProof/>
                <w:webHidden/>
              </w:rPr>
            </w:r>
            <w:r>
              <w:rPr>
                <w:noProof/>
                <w:webHidden/>
              </w:rPr>
              <w:fldChar w:fldCharType="separate"/>
            </w:r>
            <w:r>
              <w:rPr>
                <w:noProof/>
                <w:webHidden/>
              </w:rPr>
              <w:t>12</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71" w:history="1">
            <w:r w:rsidRPr="00BC1A08">
              <w:rPr>
                <w:rStyle w:val="Lienhypertexte"/>
                <w:noProof/>
                <w:lang w:val="en-US"/>
              </w:rPr>
              <w:t>Comparaison avec la législation algérienne</w:t>
            </w:r>
            <w:r>
              <w:rPr>
                <w:noProof/>
                <w:webHidden/>
              </w:rPr>
              <w:tab/>
            </w:r>
            <w:r>
              <w:rPr>
                <w:noProof/>
                <w:webHidden/>
              </w:rPr>
              <w:fldChar w:fldCharType="begin"/>
            </w:r>
            <w:r>
              <w:rPr>
                <w:noProof/>
                <w:webHidden/>
              </w:rPr>
              <w:instrText xml:space="preserve"> PAGEREF _Toc199703871 \h </w:instrText>
            </w:r>
            <w:r>
              <w:rPr>
                <w:noProof/>
                <w:webHidden/>
              </w:rPr>
            </w:r>
            <w:r>
              <w:rPr>
                <w:noProof/>
                <w:webHidden/>
              </w:rPr>
              <w:fldChar w:fldCharType="separate"/>
            </w:r>
            <w:r>
              <w:rPr>
                <w:noProof/>
                <w:webHidden/>
              </w:rPr>
              <w:t>13</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72" w:history="1">
            <w:r w:rsidRPr="00BC1A08">
              <w:rPr>
                <w:rStyle w:val="Lienhypertexte"/>
                <w:rFonts w:eastAsia="Cambria"/>
                <w:noProof/>
                <w:lang w:val="en-US"/>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BC1A08">
              <w:rPr>
                <w:rStyle w:val="Lienhypertexte"/>
                <w:rFonts w:eastAsia="Cambria"/>
                <w:noProof/>
                <w:lang w:val="en-US"/>
              </w:rPr>
              <w:t>Cadre législatif général</w:t>
            </w:r>
            <w:r>
              <w:rPr>
                <w:noProof/>
                <w:webHidden/>
              </w:rPr>
              <w:tab/>
            </w:r>
            <w:r>
              <w:rPr>
                <w:noProof/>
                <w:webHidden/>
              </w:rPr>
              <w:fldChar w:fldCharType="begin"/>
            </w:r>
            <w:r>
              <w:rPr>
                <w:noProof/>
                <w:webHidden/>
              </w:rPr>
              <w:instrText xml:space="preserve"> PAGEREF _Toc199703872 \h </w:instrText>
            </w:r>
            <w:r>
              <w:rPr>
                <w:noProof/>
                <w:webHidden/>
              </w:rPr>
            </w:r>
            <w:r>
              <w:rPr>
                <w:noProof/>
                <w:webHidden/>
              </w:rPr>
              <w:fldChar w:fldCharType="separate"/>
            </w:r>
            <w:r>
              <w:rPr>
                <w:noProof/>
                <w:webHidden/>
              </w:rPr>
              <w:t>13</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73" w:history="1">
            <w:r w:rsidRPr="00BC1A08">
              <w:rPr>
                <w:rStyle w:val="Lienhypertexte"/>
                <w:noProof/>
                <w:lang w:val="en-US"/>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BC1A08">
              <w:rPr>
                <w:rStyle w:val="Lienhypertexte"/>
                <w:rFonts w:eastAsia="Cambria"/>
                <w:noProof/>
                <w:lang w:val="en-US"/>
              </w:rPr>
              <w:t>Réglementation de la cryptographie</w:t>
            </w:r>
            <w:r>
              <w:rPr>
                <w:noProof/>
                <w:webHidden/>
              </w:rPr>
              <w:tab/>
            </w:r>
            <w:r>
              <w:rPr>
                <w:noProof/>
                <w:webHidden/>
              </w:rPr>
              <w:fldChar w:fldCharType="begin"/>
            </w:r>
            <w:r>
              <w:rPr>
                <w:noProof/>
                <w:webHidden/>
              </w:rPr>
              <w:instrText xml:space="preserve"> PAGEREF _Toc199703873 \h </w:instrText>
            </w:r>
            <w:r>
              <w:rPr>
                <w:noProof/>
                <w:webHidden/>
              </w:rPr>
            </w:r>
            <w:r>
              <w:rPr>
                <w:noProof/>
                <w:webHidden/>
              </w:rPr>
              <w:fldChar w:fldCharType="separate"/>
            </w:r>
            <w:r>
              <w:rPr>
                <w:noProof/>
                <w:webHidden/>
              </w:rPr>
              <w:t>13</w:t>
            </w:r>
            <w:r>
              <w:rPr>
                <w:noProof/>
                <w:webHidden/>
              </w:rPr>
              <w:fldChar w:fldCharType="end"/>
            </w:r>
          </w:hyperlink>
        </w:p>
        <w:p w:rsidR="00240208" w:rsidRDefault="00240208">
          <w:pPr>
            <w:pStyle w:val="TM2"/>
            <w:tabs>
              <w:tab w:val="left" w:pos="720"/>
              <w:tab w:val="right" w:leader="dot" w:pos="10195"/>
            </w:tabs>
            <w:rPr>
              <w:rFonts w:asciiTheme="minorHAnsi" w:eastAsiaTheme="minorEastAsia" w:hAnsiTheme="minorHAnsi" w:cstheme="minorBidi"/>
              <w:noProof/>
              <w:sz w:val="22"/>
              <w:szCs w:val="22"/>
            </w:rPr>
          </w:pPr>
          <w:hyperlink w:anchor="_Toc199703874" w:history="1">
            <w:r w:rsidRPr="00BC1A08">
              <w:rPr>
                <w:rStyle w:val="Lienhypertexte"/>
                <w:noProof/>
                <w:lang w:val="en-US"/>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BC1A08">
              <w:rPr>
                <w:rStyle w:val="Lienhypertexte"/>
                <w:rFonts w:eastAsia="Cambria"/>
                <w:noProof/>
                <w:lang w:val="en-US" w:eastAsia="zh-CN"/>
              </w:rPr>
              <w:t>Sanctions</w:t>
            </w:r>
            <w:r>
              <w:rPr>
                <w:noProof/>
                <w:webHidden/>
              </w:rPr>
              <w:tab/>
            </w:r>
            <w:r>
              <w:rPr>
                <w:noProof/>
                <w:webHidden/>
              </w:rPr>
              <w:fldChar w:fldCharType="begin"/>
            </w:r>
            <w:r>
              <w:rPr>
                <w:noProof/>
                <w:webHidden/>
              </w:rPr>
              <w:instrText xml:space="preserve"> PAGEREF _Toc199703874 \h </w:instrText>
            </w:r>
            <w:r>
              <w:rPr>
                <w:noProof/>
                <w:webHidden/>
              </w:rPr>
            </w:r>
            <w:r>
              <w:rPr>
                <w:noProof/>
                <w:webHidden/>
              </w:rPr>
              <w:fldChar w:fldCharType="separate"/>
            </w:r>
            <w:r>
              <w:rPr>
                <w:noProof/>
                <w:webHidden/>
              </w:rPr>
              <w:t>14</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75" w:history="1">
            <w:r w:rsidRPr="00BC1A08">
              <w:rPr>
                <w:rStyle w:val="Lienhypertexte"/>
                <w:noProof/>
              </w:rPr>
              <w:t>Conclusion</w:t>
            </w:r>
            <w:r>
              <w:rPr>
                <w:noProof/>
                <w:webHidden/>
              </w:rPr>
              <w:tab/>
            </w:r>
            <w:r>
              <w:rPr>
                <w:noProof/>
                <w:webHidden/>
              </w:rPr>
              <w:fldChar w:fldCharType="begin"/>
            </w:r>
            <w:r>
              <w:rPr>
                <w:noProof/>
                <w:webHidden/>
              </w:rPr>
              <w:instrText xml:space="preserve"> PAGEREF _Toc199703875 \h </w:instrText>
            </w:r>
            <w:r>
              <w:rPr>
                <w:noProof/>
                <w:webHidden/>
              </w:rPr>
            </w:r>
            <w:r>
              <w:rPr>
                <w:noProof/>
                <w:webHidden/>
              </w:rPr>
              <w:fldChar w:fldCharType="separate"/>
            </w:r>
            <w:r>
              <w:rPr>
                <w:noProof/>
                <w:webHidden/>
              </w:rPr>
              <w:t>15</w:t>
            </w:r>
            <w:r>
              <w:rPr>
                <w:noProof/>
                <w:webHidden/>
              </w:rPr>
              <w:fldChar w:fldCharType="end"/>
            </w:r>
          </w:hyperlink>
        </w:p>
        <w:p w:rsidR="00240208" w:rsidRDefault="00240208">
          <w:pPr>
            <w:pStyle w:val="TM1"/>
            <w:tabs>
              <w:tab w:val="right" w:leader="dot" w:pos="10195"/>
            </w:tabs>
            <w:rPr>
              <w:rFonts w:asciiTheme="minorHAnsi" w:eastAsiaTheme="minorEastAsia" w:hAnsiTheme="minorHAnsi" w:cstheme="minorBidi"/>
              <w:noProof/>
              <w:sz w:val="22"/>
              <w:szCs w:val="22"/>
            </w:rPr>
          </w:pPr>
          <w:hyperlink w:anchor="_Toc199703876" w:history="1">
            <w:r w:rsidRPr="00BC1A08">
              <w:rPr>
                <w:rStyle w:val="Lienhypertexte"/>
                <w:noProof/>
              </w:rPr>
              <w:t>Références</w:t>
            </w:r>
            <w:r>
              <w:rPr>
                <w:noProof/>
                <w:webHidden/>
              </w:rPr>
              <w:tab/>
            </w:r>
            <w:r>
              <w:rPr>
                <w:noProof/>
                <w:webHidden/>
              </w:rPr>
              <w:fldChar w:fldCharType="begin"/>
            </w:r>
            <w:r>
              <w:rPr>
                <w:noProof/>
                <w:webHidden/>
              </w:rPr>
              <w:instrText xml:space="preserve"> PAGEREF _Toc199703876 \h </w:instrText>
            </w:r>
            <w:r>
              <w:rPr>
                <w:noProof/>
                <w:webHidden/>
              </w:rPr>
            </w:r>
            <w:r>
              <w:rPr>
                <w:noProof/>
                <w:webHidden/>
              </w:rPr>
              <w:fldChar w:fldCharType="separate"/>
            </w:r>
            <w:r>
              <w:rPr>
                <w:noProof/>
                <w:webHidden/>
              </w:rPr>
              <w:t>16</w:t>
            </w:r>
            <w:r>
              <w:rPr>
                <w:noProof/>
                <w:webHidden/>
              </w:rPr>
              <w:fldChar w:fldCharType="end"/>
            </w:r>
          </w:hyperlink>
        </w:p>
        <w:p w:rsidR="0081060D" w:rsidRDefault="000E3119">
          <w:r>
            <w:fldChar w:fldCharType="end"/>
          </w:r>
        </w:p>
      </w:sdtContent>
    </w:sdt>
    <w:p w:rsidR="0081060D" w:rsidRDefault="000E3119">
      <w:r>
        <w:br w:type="page"/>
      </w:r>
    </w:p>
    <w:p w:rsidR="0081060D" w:rsidRDefault="000E3119">
      <w:pPr>
        <w:pStyle w:val="Titre1"/>
      </w:pPr>
      <w:bookmarkStart w:id="3" w:name="_Toc167113185"/>
      <w:bookmarkStart w:id="4" w:name="_Toc199703853"/>
      <w:r>
        <w:lastRenderedPageBreak/>
        <w:t>Table des figures</w:t>
      </w:r>
      <w:bookmarkEnd w:id="3"/>
      <w:bookmarkEnd w:id="4"/>
    </w:p>
    <w:p w:rsidR="0081060D" w:rsidRDefault="0081060D"/>
    <w:p w:rsidR="00240208" w:rsidRDefault="000E3119">
      <w:pPr>
        <w:pStyle w:val="Tabledesillustrations"/>
        <w:tabs>
          <w:tab w:val="right" w:leader="dot" w:pos="10195"/>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199703838" w:history="1">
        <w:r w:rsidR="00240208" w:rsidRPr="00637D35">
          <w:rPr>
            <w:rStyle w:val="Lienhypertexte"/>
            <w:noProof/>
          </w:rPr>
          <w:t>Figure 1: Contenu de la plateforme</w:t>
        </w:r>
        <w:r w:rsidR="00240208">
          <w:rPr>
            <w:noProof/>
            <w:webHidden/>
          </w:rPr>
          <w:tab/>
        </w:r>
        <w:r w:rsidR="00240208">
          <w:rPr>
            <w:noProof/>
            <w:webHidden/>
          </w:rPr>
          <w:fldChar w:fldCharType="begin"/>
        </w:r>
        <w:r w:rsidR="00240208">
          <w:rPr>
            <w:noProof/>
            <w:webHidden/>
          </w:rPr>
          <w:instrText xml:space="preserve"> PAGEREF _Toc199703838 \h </w:instrText>
        </w:r>
        <w:r w:rsidR="00240208">
          <w:rPr>
            <w:noProof/>
            <w:webHidden/>
          </w:rPr>
        </w:r>
        <w:r w:rsidR="00240208">
          <w:rPr>
            <w:noProof/>
            <w:webHidden/>
          </w:rPr>
          <w:fldChar w:fldCharType="separate"/>
        </w:r>
        <w:r w:rsidR="00240208">
          <w:rPr>
            <w:noProof/>
            <w:webHidden/>
          </w:rPr>
          <w:t>11</w:t>
        </w:r>
        <w:r w:rsidR="00240208">
          <w:rPr>
            <w:noProof/>
            <w:webHidden/>
          </w:rPr>
          <w:fldChar w:fldCharType="end"/>
        </w:r>
      </w:hyperlink>
    </w:p>
    <w:p w:rsidR="00240208" w:rsidRDefault="00240208">
      <w:pPr>
        <w:pStyle w:val="Tabledesillustrations"/>
        <w:tabs>
          <w:tab w:val="right" w:leader="dot" w:pos="10195"/>
        </w:tabs>
        <w:rPr>
          <w:rFonts w:asciiTheme="minorHAnsi" w:eastAsiaTheme="minorEastAsia" w:hAnsiTheme="minorHAnsi" w:cstheme="minorBidi"/>
          <w:noProof/>
          <w:sz w:val="22"/>
          <w:szCs w:val="22"/>
        </w:rPr>
      </w:pPr>
      <w:hyperlink w:anchor="_Toc199703839" w:history="1">
        <w:r w:rsidRPr="00637D35">
          <w:rPr>
            <w:rStyle w:val="Lienhypertexte"/>
            <w:noProof/>
          </w:rPr>
          <w:t>Figure 2: Organisation des lois</w:t>
        </w:r>
        <w:r>
          <w:rPr>
            <w:noProof/>
            <w:webHidden/>
          </w:rPr>
          <w:tab/>
        </w:r>
        <w:r>
          <w:rPr>
            <w:noProof/>
            <w:webHidden/>
          </w:rPr>
          <w:fldChar w:fldCharType="begin"/>
        </w:r>
        <w:r>
          <w:rPr>
            <w:noProof/>
            <w:webHidden/>
          </w:rPr>
          <w:instrText xml:space="preserve"> PAGEREF _Toc199703839 \h </w:instrText>
        </w:r>
        <w:r>
          <w:rPr>
            <w:noProof/>
            <w:webHidden/>
          </w:rPr>
        </w:r>
        <w:r>
          <w:rPr>
            <w:noProof/>
            <w:webHidden/>
          </w:rPr>
          <w:fldChar w:fldCharType="separate"/>
        </w:r>
        <w:r>
          <w:rPr>
            <w:noProof/>
            <w:webHidden/>
          </w:rPr>
          <w:t>11</w:t>
        </w:r>
        <w:r>
          <w:rPr>
            <w:noProof/>
            <w:webHidden/>
          </w:rPr>
          <w:fldChar w:fldCharType="end"/>
        </w:r>
      </w:hyperlink>
    </w:p>
    <w:p w:rsidR="00240208" w:rsidRDefault="00240208">
      <w:pPr>
        <w:pStyle w:val="Tabledesillustrations"/>
        <w:tabs>
          <w:tab w:val="right" w:leader="dot" w:pos="10195"/>
        </w:tabs>
        <w:rPr>
          <w:rFonts w:asciiTheme="minorHAnsi" w:eastAsiaTheme="minorEastAsia" w:hAnsiTheme="minorHAnsi" w:cstheme="minorBidi"/>
          <w:noProof/>
          <w:sz w:val="22"/>
          <w:szCs w:val="22"/>
        </w:rPr>
      </w:pPr>
      <w:hyperlink w:anchor="_Toc199703840" w:history="1">
        <w:r w:rsidRPr="00637D35">
          <w:rPr>
            <w:rStyle w:val="Lienhypertexte"/>
            <w:noProof/>
          </w:rPr>
          <w:t>Figure 3: Exemple de législation 1</w:t>
        </w:r>
        <w:r>
          <w:rPr>
            <w:noProof/>
            <w:webHidden/>
          </w:rPr>
          <w:tab/>
        </w:r>
        <w:r>
          <w:rPr>
            <w:noProof/>
            <w:webHidden/>
          </w:rPr>
          <w:fldChar w:fldCharType="begin"/>
        </w:r>
        <w:r>
          <w:rPr>
            <w:noProof/>
            <w:webHidden/>
          </w:rPr>
          <w:instrText xml:space="preserve"> PAGEREF _Toc199703840 \h </w:instrText>
        </w:r>
        <w:r>
          <w:rPr>
            <w:noProof/>
            <w:webHidden/>
          </w:rPr>
        </w:r>
        <w:r>
          <w:rPr>
            <w:noProof/>
            <w:webHidden/>
          </w:rPr>
          <w:fldChar w:fldCharType="separate"/>
        </w:r>
        <w:r>
          <w:rPr>
            <w:noProof/>
            <w:webHidden/>
          </w:rPr>
          <w:t>12</w:t>
        </w:r>
        <w:r>
          <w:rPr>
            <w:noProof/>
            <w:webHidden/>
          </w:rPr>
          <w:fldChar w:fldCharType="end"/>
        </w:r>
      </w:hyperlink>
    </w:p>
    <w:p w:rsidR="00240208" w:rsidRDefault="00240208">
      <w:pPr>
        <w:pStyle w:val="Tabledesillustrations"/>
        <w:tabs>
          <w:tab w:val="right" w:leader="dot" w:pos="10195"/>
        </w:tabs>
        <w:rPr>
          <w:rFonts w:asciiTheme="minorHAnsi" w:eastAsiaTheme="minorEastAsia" w:hAnsiTheme="minorHAnsi" w:cstheme="minorBidi"/>
          <w:noProof/>
          <w:sz w:val="22"/>
          <w:szCs w:val="22"/>
        </w:rPr>
      </w:pPr>
      <w:hyperlink w:anchor="_Toc199703841" w:history="1">
        <w:r w:rsidRPr="00637D35">
          <w:rPr>
            <w:rStyle w:val="Lienhypertexte"/>
            <w:noProof/>
          </w:rPr>
          <w:t>Figure 4: Exemple de législation 2</w:t>
        </w:r>
        <w:r>
          <w:rPr>
            <w:noProof/>
            <w:webHidden/>
          </w:rPr>
          <w:tab/>
        </w:r>
        <w:r>
          <w:rPr>
            <w:noProof/>
            <w:webHidden/>
          </w:rPr>
          <w:fldChar w:fldCharType="begin"/>
        </w:r>
        <w:r>
          <w:rPr>
            <w:noProof/>
            <w:webHidden/>
          </w:rPr>
          <w:instrText xml:space="preserve"> PAGEREF _Toc199703841 \h </w:instrText>
        </w:r>
        <w:r>
          <w:rPr>
            <w:noProof/>
            <w:webHidden/>
          </w:rPr>
        </w:r>
        <w:r>
          <w:rPr>
            <w:noProof/>
            <w:webHidden/>
          </w:rPr>
          <w:fldChar w:fldCharType="separate"/>
        </w:r>
        <w:r>
          <w:rPr>
            <w:noProof/>
            <w:webHidden/>
          </w:rPr>
          <w:t>12</w:t>
        </w:r>
        <w:r>
          <w:rPr>
            <w:noProof/>
            <w:webHidden/>
          </w:rPr>
          <w:fldChar w:fldCharType="end"/>
        </w:r>
      </w:hyperlink>
    </w:p>
    <w:p w:rsidR="0081060D" w:rsidRDefault="000E3119">
      <w:pPr>
        <w:spacing w:after="200" w:line="276" w:lineRule="auto"/>
      </w:pPr>
      <w:r>
        <w:fldChar w:fldCharType="end"/>
      </w:r>
      <w:r>
        <w:br w:type="page"/>
      </w:r>
    </w:p>
    <w:p w:rsidR="0081060D" w:rsidRDefault="0081060D">
      <w:pPr>
        <w:pStyle w:val="Titre1"/>
        <w:sectPr w:rsidR="0081060D">
          <w:footerReference w:type="default" r:id="rId9"/>
          <w:pgSz w:w="11906" w:h="16838"/>
          <w:pgMar w:top="567" w:right="567" w:bottom="567" w:left="1134" w:header="709" w:footer="0" w:gutter="0"/>
          <w:cols w:space="708"/>
          <w:docGrid w:linePitch="360"/>
        </w:sectPr>
      </w:pPr>
      <w:bookmarkStart w:id="5" w:name="_GoBack"/>
      <w:bookmarkEnd w:id="5"/>
    </w:p>
    <w:p w:rsidR="0081060D" w:rsidRDefault="000E3119">
      <w:pPr>
        <w:pStyle w:val="Titre1"/>
      </w:pPr>
      <w:bookmarkStart w:id="6" w:name="_Toc199703854"/>
      <w:r>
        <w:lastRenderedPageBreak/>
        <w:t>Introduction</w:t>
      </w:r>
      <w:bookmarkEnd w:id="6"/>
    </w:p>
    <w:p w:rsidR="0081060D" w:rsidRDefault="0081060D">
      <w:pPr>
        <w:ind w:firstLine="360"/>
        <w:rPr>
          <w:lang w:val="en-US"/>
        </w:rPr>
      </w:pPr>
    </w:p>
    <w:p w:rsidR="0081060D" w:rsidRDefault="000E3119">
      <w:pPr>
        <w:ind w:firstLine="360"/>
      </w:pPr>
      <w:r w:rsidRPr="00240208">
        <w:t xml:space="preserve">Ce rapport analyse le cadre législatif de Dubaï (Émirats Arabes Unis) concernant la protection des données personnelles et la régulation des équipements sensibles comme la cryptographie. Il examine également les </w:t>
      </w:r>
      <w:r w:rsidRPr="00240208">
        <w:t>sanctions applicables, fournit un accès aux ressources gouvernementales pertinentes et établit une comparaison avec le système algérien. Ce document s'adresse aux professionnels du droit, de la compliance et de la cybersécurité opérant dans la région MENA.</w:t>
      </w:r>
    </w:p>
    <w:p w:rsidR="0081060D" w:rsidRDefault="000E3119">
      <w:pPr>
        <w:spacing w:after="200" w:line="276" w:lineRule="auto"/>
        <w:jc w:val="left"/>
      </w:pPr>
      <w:r>
        <w:br w:type="page"/>
      </w:r>
    </w:p>
    <w:p w:rsidR="0081060D" w:rsidRDefault="000E3119">
      <w:pPr>
        <w:pStyle w:val="Titre1"/>
      </w:pPr>
      <w:bookmarkStart w:id="7" w:name="_Toc199703855"/>
      <w:r w:rsidRPr="00240208">
        <w:lastRenderedPageBreak/>
        <w:t>I</w:t>
      </w:r>
      <w:r>
        <w:t>nstance de Protection des Données Personnelles</w:t>
      </w:r>
      <w:bookmarkEnd w:id="7"/>
    </w:p>
    <w:p w:rsidR="0081060D" w:rsidRDefault="000E3119">
      <w:pPr>
        <w:pStyle w:val="Titre2"/>
      </w:pPr>
      <w:bookmarkStart w:id="8" w:name="_Toc199703856"/>
      <w:r>
        <w:t>UAE Data Office</w:t>
      </w:r>
      <w:bookmarkEnd w:id="8"/>
    </w:p>
    <w:p w:rsidR="0081060D" w:rsidRDefault="000E3119">
      <w:pPr>
        <w:ind w:firstLine="360"/>
        <w:rPr>
          <w:lang w:val="en-US"/>
        </w:rPr>
      </w:pPr>
      <w:r>
        <w:t xml:space="preserve">L'UAE Data Office est l'autorité centrale de régulation des données personnelles aux Émirats Arabes Unis, créée pour superviser la mise en œuvre du cadre juridique de protection des </w:t>
      </w:r>
      <w:r>
        <w:t xml:space="preserve">données. Cet organisme joue un rôle clé dans l'écosystème numérique du pays, en particulier depuis l'adoption du </w:t>
      </w:r>
      <w:proofErr w:type="spellStart"/>
      <w:r>
        <w:t>Federal</w:t>
      </w:r>
      <w:proofErr w:type="spellEnd"/>
      <w:r>
        <w:t xml:space="preserve"> </w:t>
      </w:r>
      <w:proofErr w:type="spellStart"/>
      <w:r>
        <w:t>Decree</w:t>
      </w:r>
      <w:proofErr w:type="spellEnd"/>
      <w:r>
        <w:t xml:space="preserve">-Law No. 45 of 2021 on </w:t>
      </w:r>
      <w:proofErr w:type="spellStart"/>
      <w:r>
        <w:t>Personal</w:t>
      </w:r>
      <w:proofErr w:type="spellEnd"/>
      <w:r>
        <w:t xml:space="preserve"> Data Protection (PDPL).</w:t>
      </w:r>
      <w:r w:rsidRPr="00240208">
        <w:tab/>
      </w:r>
      <w:r>
        <w:t>[1]</w:t>
      </w:r>
    </w:p>
    <w:p w:rsidR="0081060D" w:rsidRDefault="000E3119">
      <w:pPr>
        <w:pStyle w:val="Titre2"/>
        <w:rPr>
          <w:rFonts w:eastAsia="Cambria"/>
        </w:rPr>
      </w:pPr>
      <w:bookmarkStart w:id="9" w:name="_Toc199703857"/>
      <w:r>
        <w:rPr>
          <w:rFonts w:eastAsia="Cambria"/>
        </w:rPr>
        <w:t>Rôles et responsabilités</w:t>
      </w:r>
      <w:bookmarkEnd w:id="9"/>
    </w:p>
    <w:p w:rsidR="0081060D" w:rsidRDefault="000E3119">
      <w:pPr>
        <w:ind w:firstLine="360"/>
      </w:pPr>
      <w:r>
        <w:t xml:space="preserve">L’UAE Data Office joue un rôle central dans </w:t>
      </w:r>
      <w:r>
        <w:t xml:space="preserve">la protection des données personnelles aux Émirats Arabes Unis, en veillant à la conformité avec le </w:t>
      </w:r>
      <w:proofErr w:type="spellStart"/>
      <w:r>
        <w:t>Federal</w:t>
      </w:r>
      <w:proofErr w:type="spellEnd"/>
      <w:r>
        <w:t xml:space="preserve"> </w:t>
      </w:r>
      <w:proofErr w:type="spellStart"/>
      <w:r>
        <w:t>Decree</w:t>
      </w:r>
      <w:proofErr w:type="spellEnd"/>
      <w:r>
        <w:t xml:space="preserve">-Law No. 45 of 2021 on </w:t>
      </w:r>
      <w:proofErr w:type="spellStart"/>
      <w:r>
        <w:t>Personal</w:t>
      </w:r>
      <w:proofErr w:type="spellEnd"/>
      <w:r>
        <w:t xml:space="preserve"> Data Protection (PDPL). En tant qu’autorité de régulation indépendante, ses missions couvrent un large éventai</w:t>
      </w:r>
      <w:r>
        <w:t>l de responsabilités, allant de l’élaboration des politiques à l’application des sanctions en cas de violation.</w:t>
      </w:r>
    </w:p>
    <w:p w:rsidR="0081060D" w:rsidRDefault="000E3119">
      <w:pPr>
        <w:pStyle w:val="Titre3"/>
      </w:pPr>
      <w:bookmarkStart w:id="10" w:name="_Toc199703858"/>
      <w:r>
        <w:t>Fonctions Principales</w:t>
      </w:r>
      <w:bookmarkEnd w:id="10"/>
    </w:p>
    <w:p w:rsidR="0081060D" w:rsidRPr="00240208" w:rsidRDefault="000E3119">
      <w:pPr>
        <w:ind w:firstLine="360"/>
        <w:rPr>
          <w:rFonts w:asciiTheme="majorBidi" w:hAnsiTheme="majorBidi" w:cstheme="majorBidi"/>
          <w:color w:val="0D0D0D"/>
          <w:shd w:val="clear" w:color="auto" w:fill="FFFFFF"/>
        </w:rPr>
      </w:pPr>
      <w:r>
        <w:rPr>
          <w:rFonts w:asciiTheme="majorBidi" w:hAnsiTheme="majorBidi" w:cstheme="majorBidi"/>
          <w:color w:val="0D0D0D"/>
          <w:shd w:val="clear" w:color="auto" w:fill="FFFFFF"/>
        </w:rPr>
        <w:t xml:space="preserve">Les missions clés de l'UAE Data Office incluent </w:t>
      </w:r>
      <w:proofErr w:type="gramStart"/>
      <w:r>
        <w:rPr>
          <w:rFonts w:asciiTheme="majorBidi" w:hAnsiTheme="majorBidi" w:cstheme="majorBidi"/>
          <w:color w:val="0D0D0D"/>
          <w:shd w:val="clear" w:color="auto" w:fill="FFFFFF"/>
        </w:rPr>
        <w:t>:</w:t>
      </w:r>
      <w:r w:rsidRPr="00240208">
        <w:rPr>
          <w:rFonts w:asciiTheme="majorBidi" w:hAnsiTheme="majorBidi" w:cstheme="majorBidi"/>
          <w:color w:val="0D0D0D"/>
          <w:shd w:val="clear" w:color="auto" w:fill="FFFFFF"/>
        </w:rPr>
        <w:t xml:space="preserve">  </w:t>
      </w:r>
      <w:r>
        <w:t>[</w:t>
      </w:r>
      <w:proofErr w:type="gramEnd"/>
      <w:r>
        <w:t>2]</w:t>
      </w:r>
      <w:r w:rsidRPr="00240208">
        <w:t xml:space="preserve"> </w:t>
      </w:r>
      <w:r>
        <w:t>[</w:t>
      </w:r>
      <w:r w:rsidRPr="00240208">
        <w:t>3</w:t>
      </w:r>
      <w:r>
        <w:t>]</w:t>
      </w:r>
    </w:p>
    <w:p w:rsidR="0081060D" w:rsidRPr="00240208" w:rsidRDefault="000E3119">
      <w:pPr>
        <w:ind w:firstLine="708"/>
        <w:rPr>
          <w:b/>
          <w:bCs/>
          <w:i/>
          <w:iCs/>
          <w:u w:val="single"/>
        </w:rPr>
      </w:pPr>
      <w:r>
        <w:rPr>
          <w:b/>
          <w:bCs/>
          <w:i/>
          <w:iCs/>
          <w:u w:val="single"/>
        </w:rPr>
        <w:t>Élaboration des politiques :</w:t>
      </w:r>
      <w:r w:rsidRPr="00240208">
        <w:t xml:space="preserve"> </w:t>
      </w:r>
      <w:r>
        <w:rPr>
          <w:rFonts w:asciiTheme="majorBidi" w:hAnsiTheme="majorBidi" w:cstheme="majorBidi"/>
          <w:color w:val="0D0D0D"/>
          <w:shd w:val="clear" w:color="auto" w:fill="FFFFFF"/>
        </w:rPr>
        <w:t xml:space="preserve">Les cartes d'accès sont simples à </w:t>
      </w:r>
      <w:r>
        <w:rPr>
          <w:rFonts w:asciiTheme="majorBidi" w:hAnsiTheme="majorBidi" w:cstheme="majorBidi"/>
          <w:color w:val="0D0D0D"/>
          <w:shd w:val="clear" w:color="auto" w:fill="FFFFFF"/>
        </w:rPr>
        <w:t xml:space="preserve">utiliser, il suffit généralement de </w:t>
      </w:r>
      <w:r w:rsidRPr="00240208">
        <w:rPr>
          <w:rFonts w:asciiTheme="majorBidi" w:hAnsiTheme="majorBidi" w:cstheme="majorBidi"/>
          <w:color w:val="0D0D0D"/>
          <w:shd w:val="clear" w:color="auto" w:fill="FFFFFF"/>
        </w:rPr>
        <w:tab/>
      </w:r>
      <w:r>
        <w:rPr>
          <w:rFonts w:asciiTheme="majorBidi" w:hAnsiTheme="majorBidi" w:cstheme="majorBidi"/>
          <w:color w:val="0D0D0D"/>
          <w:shd w:val="clear" w:color="auto" w:fill="FFFFFF"/>
        </w:rPr>
        <w:t>les</w:t>
      </w:r>
      <w:r w:rsidRPr="00240208">
        <w:rPr>
          <w:rFonts w:asciiTheme="majorBidi" w:hAnsiTheme="majorBidi" w:cstheme="majorBidi"/>
          <w:color w:val="0D0D0D"/>
          <w:shd w:val="clear" w:color="auto" w:fill="FFFFFF"/>
        </w:rPr>
        <w:t xml:space="preserve"> </w:t>
      </w:r>
      <w:r w:rsidRPr="00240208">
        <w:rPr>
          <w:rFonts w:asciiTheme="majorBidi" w:hAnsiTheme="majorBidi" w:cstheme="majorBidi"/>
          <w:color w:val="0D0D0D"/>
          <w:shd w:val="clear" w:color="auto" w:fill="FFFFFF"/>
        </w:rPr>
        <w:tab/>
      </w:r>
      <w:r>
        <w:rPr>
          <w:rFonts w:asciiTheme="majorBidi" w:hAnsiTheme="majorBidi" w:cstheme="majorBidi"/>
          <w:color w:val="0D0D0D"/>
          <w:shd w:val="clear" w:color="auto" w:fill="FFFFFF"/>
        </w:rPr>
        <w:t>passer devant un lecteur pour autoriser l'entrée.</w:t>
      </w:r>
      <w:r w:rsidRPr="00240208">
        <w:rPr>
          <w:b/>
          <w:bCs/>
          <w:i/>
          <w:iCs/>
          <w:u w:val="single"/>
        </w:rPr>
        <w:t xml:space="preserve">  </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t>Surveillance de la conformité :</w:t>
      </w:r>
      <w:r w:rsidRPr="00240208">
        <w:t xml:space="preserve"> P</w:t>
      </w:r>
      <w:r w:rsidRPr="00240208">
        <w:rPr>
          <w:rFonts w:asciiTheme="majorBidi" w:hAnsiTheme="majorBidi" w:cstheme="majorBidi"/>
          <w:color w:val="0D0D0D"/>
          <w:shd w:val="clear" w:color="auto" w:fill="FFFFFF"/>
        </w:rPr>
        <w:t xml:space="preserve">roposer et approuver les standards pour le monitoring de la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PDPL</w:t>
      </w:r>
      <w:r w:rsidRPr="00240208">
        <w:rPr>
          <w:rFonts w:asciiTheme="majorBidi" w:hAnsiTheme="majorBidi" w:cstheme="majorBidi"/>
          <w:color w:val="0D0D0D"/>
          <w:shd w:val="clear" w:color="auto" w:fill="FFFFFF"/>
        </w:rPr>
        <w:t>.</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t>Gestion des plaintes :</w:t>
      </w:r>
      <w:r w:rsidRPr="00240208">
        <w:t xml:space="preserve"> </w:t>
      </w:r>
      <w:r w:rsidRPr="00240208">
        <w:rPr>
          <w:rFonts w:asciiTheme="majorBidi" w:hAnsiTheme="majorBidi" w:cstheme="majorBidi"/>
          <w:color w:val="0D0D0D"/>
          <w:shd w:val="clear" w:color="auto" w:fill="FFFFFF"/>
        </w:rPr>
        <w:t>P</w:t>
      </w:r>
      <w:r w:rsidRPr="00240208">
        <w:rPr>
          <w:rFonts w:asciiTheme="majorBidi" w:hAnsiTheme="majorBidi" w:cstheme="majorBidi"/>
          <w:color w:val="0D0D0D"/>
          <w:shd w:val="clear" w:color="auto" w:fill="FFFFFF"/>
        </w:rPr>
        <w:t xml:space="preserve">réparer les systèmes de traitement des plaintes et griefs liés aux données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personnelles</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t>Guidance et réglementation :</w:t>
      </w:r>
      <w:r w:rsidRPr="00240208">
        <w:t xml:space="preserve"> </w:t>
      </w:r>
      <w:r w:rsidRPr="00240208">
        <w:rPr>
          <w:rFonts w:asciiTheme="majorBidi" w:hAnsiTheme="majorBidi" w:cstheme="majorBidi"/>
          <w:color w:val="0D0D0D"/>
          <w:shd w:val="clear" w:color="auto" w:fill="FFFFFF"/>
        </w:rPr>
        <w:t xml:space="preserve">Publier des lignes directrices et instructions pour la mise en œuvre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de la loi</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t>Transferts transfrontaliers :</w:t>
      </w:r>
      <w:r w:rsidRPr="00240208">
        <w:t xml:space="preserve"> </w:t>
      </w:r>
      <w:r w:rsidRPr="00240208">
        <w:rPr>
          <w:rFonts w:asciiTheme="majorBidi" w:hAnsiTheme="majorBidi" w:cstheme="majorBidi"/>
          <w:color w:val="0D0D0D"/>
          <w:shd w:val="clear" w:color="auto" w:fill="FFFFFF"/>
        </w:rPr>
        <w:t xml:space="preserve">Approuver les transferts de </w:t>
      </w:r>
      <w:r w:rsidRPr="00240208">
        <w:rPr>
          <w:rFonts w:asciiTheme="majorBidi" w:hAnsiTheme="majorBidi" w:cstheme="majorBidi"/>
          <w:color w:val="0D0D0D"/>
          <w:shd w:val="clear" w:color="auto" w:fill="FFFFFF"/>
        </w:rPr>
        <w:t>données vers d'autres juridictions</w:t>
      </w:r>
    </w:p>
    <w:p w:rsidR="0081060D" w:rsidRPr="00240208" w:rsidRDefault="000E3119">
      <w:pPr>
        <w:pStyle w:val="Titre3"/>
      </w:pPr>
      <w:bookmarkStart w:id="11" w:name="_Toc199703859"/>
      <w:r w:rsidRPr="00240208">
        <w:t>Rôle dans l'Application de la PDPL</w:t>
      </w:r>
      <w:bookmarkEnd w:id="11"/>
    </w:p>
    <w:p w:rsidR="0081060D" w:rsidRPr="00240208" w:rsidRDefault="000E3119">
      <w:pPr>
        <w:ind w:firstLine="360"/>
        <w:rPr>
          <w:rFonts w:asciiTheme="majorBidi" w:hAnsiTheme="majorBidi" w:cstheme="majorBidi"/>
          <w:color w:val="0D0D0D"/>
          <w:shd w:val="clear" w:color="auto" w:fill="FFFFFF"/>
        </w:rPr>
      </w:pPr>
      <w:r w:rsidRPr="00240208">
        <w:rPr>
          <w:rFonts w:asciiTheme="majorBidi" w:hAnsiTheme="majorBidi" w:cstheme="majorBidi"/>
          <w:color w:val="0D0D0D"/>
          <w:shd w:val="clear" w:color="auto" w:fill="FFFFFF"/>
        </w:rPr>
        <w:t xml:space="preserve">L’UAE Data Office joue un rôle actif dans la mise en œuvre et le contrôle du respect de la </w:t>
      </w:r>
      <w:proofErr w:type="spellStart"/>
      <w:r w:rsidRPr="00240208">
        <w:rPr>
          <w:rFonts w:asciiTheme="majorBidi" w:hAnsiTheme="majorBidi" w:cstheme="majorBidi"/>
          <w:color w:val="0D0D0D"/>
          <w:shd w:val="clear" w:color="auto" w:fill="FFFFFF"/>
        </w:rPr>
        <w:t>Federal</w:t>
      </w:r>
      <w:proofErr w:type="spellEnd"/>
      <w:r w:rsidRPr="00240208">
        <w:rPr>
          <w:rFonts w:asciiTheme="majorBidi" w:hAnsiTheme="majorBidi" w:cstheme="majorBidi"/>
          <w:color w:val="0D0D0D"/>
          <w:shd w:val="clear" w:color="auto" w:fill="FFFFFF"/>
        </w:rPr>
        <w:t xml:space="preserve"> </w:t>
      </w:r>
      <w:proofErr w:type="spellStart"/>
      <w:r w:rsidRPr="00240208">
        <w:rPr>
          <w:rFonts w:asciiTheme="majorBidi" w:hAnsiTheme="majorBidi" w:cstheme="majorBidi"/>
          <w:color w:val="0D0D0D"/>
          <w:shd w:val="clear" w:color="auto" w:fill="FFFFFF"/>
        </w:rPr>
        <w:t>Decree</w:t>
      </w:r>
      <w:proofErr w:type="spellEnd"/>
      <w:r w:rsidRPr="00240208">
        <w:rPr>
          <w:rFonts w:asciiTheme="majorBidi" w:hAnsiTheme="majorBidi" w:cstheme="majorBidi"/>
          <w:color w:val="0D0D0D"/>
          <w:shd w:val="clear" w:color="auto" w:fill="FFFFFF"/>
        </w:rPr>
        <w:t>-Law No. 45 of 2021 (PDPL). Ses principales responsabilités incluent : [4] [5]</w:t>
      </w:r>
    </w:p>
    <w:p w:rsidR="0081060D" w:rsidRPr="00240208" w:rsidRDefault="000E3119">
      <w:pPr>
        <w:ind w:firstLine="708"/>
        <w:rPr>
          <w:rFonts w:asciiTheme="majorBidi" w:hAnsiTheme="majorBidi" w:cstheme="majorBidi"/>
          <w:color w:val="0D0D0D"/>
          <w:shd w:val="clear" w:color="auto" w:fill="FFFFFF"/>
        </w:rPr>
        <w:sectPr w:rsidR="0081060D" w:rsidRPr="00240208">
          <w:footerReference w:type="default" r:id="rId10"/>
          <w:pgSz w:w="11906" w:h="16838"/>
          <w:pgMar w:top="567" w:right="567" w:bottom="567" w:left="1134" w:header="709" w:footer="454" w:gutter="0"/>
          <w:cols w:space="708"/>
          <w:docGrid w:linePitch="360"/>
        </w:sectPr>
      </w:pPr>
      <w:r w:rsidRPr="00240208">
        <w:rPr>
          <w:b/>
          <w:bCs/>
          <w:i/>
          <w:iCs/>
          <w:u w:val="single"/>
        </w:rPr>
        <w:t>Réception des notifications de violations de données</w:t>
      </w:r>
      <w:r w:rsidRPr="00240208">
        <w:rPr>
          <w:b/>
          <w:bCs/>
          <w:i/>
          <w:iCs/>
          <w:u w:val="single"/>
        </w:rPr>
        <w:t xml:space="preserve"> :</w:t>
      </w:r>
      <w:r w:rsidRPr="00240208">
        <w:t xml:space="preserve"> </w:t>
      </w:r>
      <w:r w:rsidRPr="00240208">
        <w:rPr>
          <w:rFonts w:asciiTheme="majorBidi" w:hAnsiTheme="majorBidi" w:cstheme="majorBidi"/>
          <w:color w:val="0D0D0D"/>
          <w:shd w:val="clear" w:color="auto" w:fill="FFFFFF"/>
        </w:rPr>
        <w:t xml:space="preserve">L’autorité est chargée de recevoir et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d’évaluer les signalements de violations de données personnelles, qui doivent lui être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communiquées dans les plus brefs délais conformément à la loi. Cette obligation permet une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réaction rapide pour limiter les impacts sur les citoyens et les entreprises.</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lastRenderedPageBreak/>
        <w:t>Imposition de sanctions administratives</w:t>
      </w:r>
      <w:r w:rsidRPr="00240208">
        <w:rPr>
          <w:b/>
          <w:bCs/>
          <w:i/>
          <w:iCs/>
          <w:u w:val="single"/>
        </w:rPr>
        <w:t xml:space="preserve"> :</w:t>
      </w:r>
      <w:r w:rsidRPr="00240208">
        <w:t xml:space="preserve"> </w:t>
      </w:r>
      <w:r w:rsidRPr="00240208">
        <w:rPr>
          <w:rFonts w:asciiTheme="majorBidi" w:hAnsiTheme="majorBidi" w:cstheme="majorBidi"/>
          <w:color w:val="0D0D0D"/>
          <w:shd w:val="clear" w:color="auto" w:fill="FFFFFF"/>
        </w:rPr>
        <w:t>En cas de non-conformité à la PDPL, l’UAE D</w:t>
      </w:r>
      <w:r w:rsidRPr="00240208">
        <w:rPr>
          <w:rFonts w:asciiTheme="majorBidi" w:hAnsiTheme="majorBidi" w:cstheme="majorBidi"/>
          <w:color w:val="0D0D0D"/>
          <w:shd w:val="clear" w:color="auto" w:fill="FFFFFF"/>
        </w:rPr>
        <w:t xml:space="preserve">ata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Office a le pouvoir d’appliquer des sanctions financières et administratives, notamment des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amendes pouvant atteindre 5 millions AED, la suspension d’activités, ou le retrait d’autorisations.</w:t>
      </w:r>
    </w:p>
    <w:p w:rsidR="0081060D" w:rsidRPr="00240208" w:rsidRDefault="000E3119">
      <w:pPr>
        <w:ind w:firstLine="708"/>
        <w:rPr>
          <w:rFonts w:asciiTheme="majorBidi" w:hAnsiTheme="majorBidi" w:cstheme="majorBidi"/>
          <w:color w:val="0D0D0D"/>
          <w:shd w:val="clear" w:color="auto" w:fill="FFFFFF"/>
        </w:rPr>
      </w:pPr>
      <w:r w:rsidRPr="00240208">
        <w:rPr>
          <w:b/>
          <w:bCs/>
          <w:i/>
          <w:iCs/>
          <w:u w:val="single"/>
        </w:rPr>
        <w:t>Gestion des recours contre ses décisions</w:t>
      </w:r>
      <w:r w:rsidRPr="00240208">
        <w:rPr>
          <w:b/>
          <w:bCs/>
          <w:i/>
          <w:iCs/>
          <w:u w:val="single"/>
        </w:rPr>
        <w:t xml:space="preserve"> :</w:t>
      </w:r>
      <w:r w:rsidRPr="00240208">
        <w:t xml:space="preserve"> </w:t>
      </w:r>
      <w:r w:rsidRPr="00240208">
        <w:rPr>
          <w:rFonts w:asciiTheme="majorBidi" w:hAnsiTheme="majorBidi" w:cstheme="majorBidi"/>
          <w:color w:val="0D0D0D"/>
          <w:shd w:val="clear" w:color="auto" w:fill="FFFFFF"/>
        </w:rPr>
        <w:t>Les entreprises</w:t>
      </w:r>
      <w:r w:rsidRPr="00240208">
        <w:rPr>
          <w:rFonts w:asciiTheme="majorBidi" w:hAnsiTheme="majorBidi" w:cstheme="majorBidi"/>
          <w:color w:val="0D0D0D"/>
          <w:shd w:val="clear" w:color="auto" w:fill="FFFFFF"/>
        </w:rPr>
        <w:t xml:space="preserve"> ou individus sanctionnés peuvent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contester les décisions de l’autorité dans un délai de 30 jours. L’UAE Data Office examine ces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recours et statue sur leur validité, assurant un processus équitable.</w:t>
      </w:r>
    </w:p>
    <w:p w:rsidR="0081060D" w:rsidRPr="00240208" w:rsidRDefault="000E3119">
      <w:pPr>
        <w:ind w:firstLine="708"/>
        <w:rPr>
          <w:rFonts w:asciiTheme="majorBidi" w:hAnsiTheme="majorBidi" w:cstheme="majorBidi"/>
          <w:color w:val="0D0D0D"/>
          <w:shd w:val="clear" w:color="auto" w:fill="FFFFFF"/>
        </w:rPr>
        <w:sectPr w:rsidR="0081060D" w:rsidRPr="00240208">
          <w:pgSz w:w="11906" w:h="16838"/>
          <w:pgMar w:top="567" w:right="567" w:bottom="567" w:left="1134" w:header="709" w:footer="454" w:gutter="0"/>
          <w:cols w:space="708"/>
          <w:docGrid w:linePitch="360"/>
        </w:sectPr>
      </w:pPr>
      <w:r w:rsidRPr="00240208">
        <w:rPr>
          <w:b/>
          <w:bCs/>
          <w:i/>
          <w:iCs/>
          <w:u w:val="single"/>
        </w:rPr>
        <w:t>Publication des règlements d’appli</w:t>
      </w:r>
      <w:r w:rsidRPr="00240208">
        <w:rPr>
          <w:b/>
          <w:bCs/>
          <w:i/>
          <w:iCs/>
          <w:u w:val="single"/>
        </w:rPr>
        <w:t>cation</w:t>
      </w:r>
      <w:r w:rsidRPr="00240208">
        <w:rPr>
          <w:b/>
          <w:bCs/>
          <w:i/>
          <w:iCs/>
          <w:u w:val="single"/>
        </w:rPr>
        <w:t xml:space="preserve"> :</w:t>
      </w:r>
      <w:r w:rsidRPr="00240208">
        <w:t xml:space="preserve"> </w:t>
      </w:r>
      <w:r w:rsidRPr="00240208">
        <w:rPr>
          <w:rFonts w:asciiTheme="majorBidi" w:hAnsiTheme="majorBidi" w:cstheme="majorBidi"/>
          <w:color w:val="0D0D0D"/>
          <w:shd w:val="clear" w:color="auto" w:fill="FFFFFF"/>
        </w:rPr>
        <w:t xml:space="preserve">L’autorité est responsable de l’élaboration et de la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diffusion des règlements d’exécution de la PDPL, clarifiant les obligations légales et fournissant </w:t>
      </w:r>
      <w:r w:rsidRPr="00240208">
        <w:rPr>
          <w:rFonts w:asciiTheme="majorBidi" w:hAnsiTheme="majorBidi" w:cstheme="majorBidi"/>
          <w:color w:val="0D0D0D"/>
          <w:shd w:val="clear" w:color="auto" w:fill="FFFFFF"/>
        </w:rPr>
        <w:tab/>
      </w:r>
      <w:r w:rsidRPr="00240208">
        <w:rPr>
          <w:rFonts w:asciiTheme="majorBidi" w:hAnsiTheme="majorBidi" w:cstheme="majorBidi"/>
          <w:color w:val="0D0D0D"/>
          <w:shd w:val="clear" w:color="auto" w:fill="FFFFFF"/>
        </w:rPr>
        <w:t xml:space="preserve">des directives pratiques aux entreprises pour assurer leur </w:t>
      </w:r>
      <w:proofErr w:type="spellStart"/>
      <w:r w:rsidRPr="00240208">
        <w:rPr>
          <w:rFonts w:asciiTheme="majorBidi" w:hAnsiTheme="majorBidi" w:cstheme="majorBidi"/>
          <w:color w:val="0D0D0D"/>
          <w:shd w:val="clear" w:color="auto" w:fill="FFFFFF"/>
        </w:rPr>
        <w:t>confor</w:t>
      </w:r>
      <w:proofErr w:type="spellEnd"/>
    </w:p>
    <w:p w:rsidR="0081060D" w:rsidRDefault="000E3119">
      <w:pPr>
        <w:pStyle w:val="Titre1"/>
      </w:pPr>
      <w:bookmarkStart w:id="12" w:name="_Toc199703860"/>
      <w:r>
        <w:lastRenderedPageBreak/>
        <w:t>Lois sur les équipements se</w:t>
      </w:r>
      <w:r>
        <w:t>nsibles à savoir la cryptographie</w:t>
      </w:r>
      <w:bookmarkEnd w:id="12"/>
    </w:p>
    <w:p w:rsidR="0081060D" w:rsidRPr="00240208" w:rsidRDefault="000E3119">
      <w:pPr>
        <w:pStyle w:val="Titre2"/>
        <w:rPr>
          <w:rFonts w:eastAsia="Cambria"/>
          <w:lang w:val="en-US"/>
        </w:rPr>
      </w:pPr>
      <w:bookmarkStart w:id="13" w:name="_Toc199703861"/>
      <w:r w:rsidRPr="00240208">
        <w:rPr>
          <w:rFonts w:eastAsia="Cambria"/>
          <w:lang w:val="en-US"/>
        </w:rPr>
        <w:t>Federal Decree-Law</w:t>
      </w:r>
      <w:r>
        <w:rPr>
          <w:rFonts w:eastAsia="Cambria"/>
          <w:lang w:val="en-US"/>
        </w:rPr>
        <w:t xml:space="preserve"> </w:t>
      </w:r>
      <w:r w:rsidRPr="00240208">
        <w:rPr>
          <w:rFonts w:eastAsia="Cambria"/>
          <w:lang w:val="en-US"/>
        </w:rPr>
        <w:t>on Combatting Rumors and Cybercrimes</w:t>
      </w:r>
      <w:r>
        <w:rPr>
          <w:rFonts w:eastAsia="Cambria"/>
          <w:lang w:val="en-US"/>
        </w:rPr>
        <w:t xml:space="preserve"> [6]</w:t>
      </w:r>
      <w:bookmarkEnd w:id="13"/>
    </w:p>
    <w:p w:rsidR="0081060D" w:rsidRPr="00240208" w:rsidRDefault="000E3119">
      <w:pPr>
        <w:ind w:firstLine="360"/>
      </w:pPr>
      <w:r w:rsidRPr="00240208">
        <w:rPr>
          <w:b/>
          <w:bCs/>
          <w:i/>
          <w:iCs/>
          <w:u w:val="single"/>
        </w:rPr>
        <w:t>N</w:t>
      </w:r>
      <w:r w:rsidRPr="00240208">
        <w:rPr>
          <w:b/>
          <w:bCs/>
          <w:i/>
          <w:iCs/>
          <w:u w:val="single"/>
        </w:rPr>
        <w:t xml:space="preserve">uméro du </w:t>
      </w:r>
      <w:proofErr w:type="gramStart"/>
      <w:r w:rsidRPr="00240208">
        <w:rPr>
          <w:b/>
          <w:bCs/>
          <w:i/>
          <w:iCs/>
          <w:u w:val="single"/>
        </w:rPr>
        <w:t>loi:</w:t>
      </w:r>
      <w:proofErr w:type="gramEnd"/>
      <w:r w:rsidRPr="00240208">
        <w:t xml:space="preserve"> </w:t>
      </w:r>
      <w:r w:rsidRPr="00240208">
        <w:t>34</w:t>
      </w:r>
    </w:p>
    <w:p w:rsidR="0081060D" w:rsidRPr="00240208" w:rsidRDefault="000E3119">
      <w:pPr>
        <w:ind w:firstLine="360"/>
      </w:pPr>
      <w:r w:rsidRPr="00240208">
        <w:rPr>
          <w:b/>
          <w:bCs/>
          <w:i/>
          <w:iCs/>
          <w:u w:val="single"/>
        </w:rPr>
        <w:t>Date de promulgation :</w:t>
      </w:r>
      <w:r w:rsidRPr="00240208">
        <w:t xml:space="preserve"> 26 Sep 2021</w:t>
      </w:r>
    </w:p>
    <w:p w:rsidR="0081060D" w:rsidRPr="00240208" w:rsidRDefault="000E3119">
      <w:pPr>
        <w:ind w:firstLine="360"/>
        <w:rPr>
          <w:b/>
          <w:bCs/>
          <w:i/>
          <w:iCs/>
          <w:u w:val="single"/>
        </w:rPr>
      </w:pPr>
      <w:r w:rsidRPr="00240208">
        <w:rPr>
          <w:b/>
          <w:bCs/>
          <w:i/>
          <w:iCs/>
          <w:u w:val="single"/>
        </w:rPr>
        <w:t>Objectifs :</w:t>
      </w:r>
    </w:p>
    <w:p w:rsidR="0081060D" w:rsidRPr="00240208" w:rsidRDefault="000E3119">
      <w:pPr>
        <w:ind w:firstLine="708"/>
      </w:pPr>
      <w:r w:rsidRPr="00240208">
        <w:t xml:space="preserve">- Criminaliser l'utilisation non autorisée de la cryptographie pour dissimuler des cyberattaques </w:t>
      </w:r>
      <w:r w:rsidRPr="00240208">
        <w:tab/>
        <w:t xml:space="preserve">ou </w:t>
      </w:r>
      <w:r w:rsidRPr="00240208">
        <w:tab/>
        <w:t>des activités illicites.</w:t>
      </w:r>
    </w:p>
    <w:p w:rsidR="0081060D" w:rsidRPr="00240208" w:rsidRDefault="000E3119">
      <w:pPr>
        <w:ind w:firstLine="708"/>
      </w:pPr>
      <w:r w:rsidRPr="00240208">
        <w:t>- Réguler l'interception et le décryptage illicites des communications électroniques.</w:t>
      </w:r>
    </w:p>
    <w:p w:rsidR="0081060D" w:rsidRPr="00240208" w:rsidRDefault="000E3119">
      <w:pPr>
        <w:ind w:firstLine="708"/>
      </w:pPr>
      <w:r w:rsidRPr="00240208">
        <w:t>- Protéger les systèmes d'information gouvernementaux et privés.</w:t>
      </w:r>
    </w:p>
    <w:p w:rsidR="0081060D" w:rsidRDefault="000E3119">
      <w:pPr>
        <w:ind w:firstLine="360"/>
        <w:rPr>
          <w:b/>
          <w:bCs/>
          <w:i/>
          <w:iCs/>
          <w:u w:val="single"/>
          <w:lang w:val="en-US"/>
        </w:rPr>
      </w:pPr>
      <w:proofErr w:type="gramStart"/>
      <w:r>
        <w:rPr>
          <w:b/>
          <w:bCs/>
          <w:i/>
          <w:iCs/>
          <w:u w:val="single"/>
          <w:lang w:val="en-US"/>
        </w:rPr>
        <w:t>Sanctions :</w:t>
      </w:r>
      <w:proofErr w:type="gramEnd"/>
    </w:p>
    <w:p w:rsidR="0081060D" w:rsidRDefault="000E3119">
      <w:pPr>
        <w:numPr>
          <w:ilvl w:val="0"/>
          <w:numId w:val="4"/>
        </w:numPr>
        <w:rPr>
          <w:lang w:val="en-US"/>
        </w:rPr>
      </w:pPr>
      <w:r>
        <w:rPr>
          <w:lang w:val="en-US"/>
        </w:rPr>
        <w:t>Hacking (Art. 2</w:t>
      </w:r>
      <w:proofErr w:type="gramStart"/>
      <w:r>
        <w:rPr>
          <w:lang w:val="en-US"/>
        </w:rPr>
        <w:t>) :</w:t>
      </w:r>
      <w:proofErr w:type="gramEnd"/>
    </w:p>
    <w:p w:rsidR="0081060D" w:rsidRPr="00240208" w:rsidRDefault="000E3119">
      <w:pPr>
        <w:ind w:left="708" w:firstLine="708"/>
      </w:pPr>
      <w:r w:rsidRPr="00240208">
        <w:t>- Emprisonnement et/ou amende de 100 000 à 3</w:t>
      </w:r>
      <w:r w:rsidRPr="00240208">
        <w:t xml:space="preserve">00 000 AED pour accès non autorisé à un </w:t>
      </w:r>
      <w:r w:rsidRPr="00240208">
        <w:tab/>
        <w:t>système informatique.</w:t>
      </w:r>
    </w:p>
    <w:p w:rsidR="0081060D" w:rsidRPr="00240208" w:rsidRDefault="000E3119">
      <w:pPr>
        <w:ind w:left="708" w:firstLine="708"/>
      </w:pPr>
      <w:r w:rsidRPr="00240208">
        <w:t xml:space="preserve">- Si dommages ou interruption de service : amende de 150 000 à 500 000 AED et </w:t>
      </w:r>
      <w:r w:rsidRPr="00240208">
        <w:tab/>
        <w:t>emprisonnement (min. 6 mois).</w:t>
      </w:r>
    </w:p>
    <w:p w:rsidR="0081060D" w:rsidRPr="00240208" w:rsidRDefault="000E3119">
      <w:pPr>
        <w:ind w:left="708" w:firstLine="708"/>
      </w:pPr>
      <w:r w:rsidRPr="00240208">
        <w:t>- Si vol de données : amende de 200 000 à 500 000 AED et emprisonnement (min. 1 an).</w:t>
      </w:r>
    </w:p>
    <w:p w:rsidR="0081060D" w:rsidRPr="00240208" w:rsidRDefault="000E3119">
      <w:pPr>
        <w:numPr>
          <w:ilvl w:val="0"/>
          <w:numId w:val="4"/>
        </w:numPr>
      </w:pPr>
      <w:r w:rsidRPr="00240208">
        <w:t>Hacking des systèmes gouvernementaux (Art. 3) :</w:t>
      </w:r>
    </w:p>
    <w:p w:rsidR="0081060D" w:rsidRPr="00240208" w:rsidRDefault="000E3119">
      <w:pPr>
        <w:ind w:left="708" w:firstLine="708"/>
      </w:pPr>
      <w:r w:rsidRPr="00240208">
        <w:t>- Emprisonnement temporaire + amende de 200 000 à 500 000 AED.</w:t>
      </w:r>
    </w:p>
    <w:p w:rsidR="0081060D" w:rsidRPr="00240208" w:rsidRDefault="000E3119">
      <w:pPr>
        <w:ind w:left="708" w:firstLine="708"/>
      </w:pPr>
      <w:r w:rsidRPr="00240208">
        <w:t>- Si cyberattaque : amende jusqu'à 1,5 million AED et emprisonnement (min. 5 ans).</w:t>
      </w:r>
    </w:p>
    <w:p w:rsidR="0081060D" w:rsidRDefault="000E3119">
      <w:pPr>
        <w:pStyle w:val="Titre2"/>
        <w:rPr>
          <w:rFonts w:eastAsia="Cambria"/>
          <w:lang w:val="en-US"/>
        </w:rPr>
      </w:pPr>
      <w:bookmarkStart w:id="14" w:name="_Toc199703862"/>
      <w:r>
        <w:rPr>
          <w:rFonts w:eastAsia="Cambria"/>
          <w:lang w:val="en-US"/>
        </w:rPr>
        <w:t xml:space="preserve">Federal Decree-Law on Crimes and Penalties </w:t>
      </w:r>
      <w:r>
        <w:rPr>
          <w:rFonts w:eastAsia="Cambria"/>
          <w:lang w:val="en-US"/>
        </w:rPr>
        <w:t>[7]</w:t>
      </w:r>
      <w:bookmarkEnd w:id="14"/>
    </w:p>
    <w:p w:rsidR="0081060D" w:rsidRPr="00240208" w:rsidRDefault="000E3119">
      <w:pPr>
        <w:ind w:firstLine="360"/>
      </w:pPr>
      <w:r w:rsidRPr="00240208">
        <w:rPr>
          <w:b/>
          <w:bCs/>
          <w:i/>
          <w:iCs/>
          <w:u w:val="single"/>
        </w:rPr>
        <w:t>N</w:t>
      </w:r>
      <w:r w:rsidRPr="00240208">
        <w:rPr>
          <w:b/>
          <w:bCs/>
          <w:i/>
          <w:iCs/>
          <w:u w:val="single"/>
        </w:rPr>
        <w:t xml:space="preserve">uméro du </w:t>
      </w:r>
      <w:proofErr w:type="gramStart"/>
      <w:r w:rsidRPr="00240208">
        <w:rPr>
          <w:b/>
          <w:bCs/>
          <w:i/>
          <w:iCs/>
          <w:u w:val="single"/>
        </w:rPr>
        <w:t>loi:</w:t>
      </w:r>
      <w:proofErr w:type="gramEnd"/>
      <w:r w:rsidRPr="00240208">
        <w:t xml:space="preserve"> 31</w:t>
      </w:r>
    </w:p>
    <w:p w:rsidR="0081060D" w:rsidRPr="00240208" w:rsidRDefault="000E3119">
      <w:pPr>
        <w:ind w:firstLine="360"/>
      </w:pPr>
      <w:r w:rsidRPr="00240208">
        <w:rPr>
          <w:b/>
          <w:bCs/>
          <w:i/>
          <w:iCs/>
          <w:u w:val="single"/>
        </w:rPr>
        <w:t>Date de promulgation :</w:t>
      </w:r>
      <w:r w:rsidRPr="00240208">
        <w:t xml:space="preserve"> 26 Sep 2021</w:t>
      </w:r>
    </w:p>
    <w:p w:rsidR="0081060D" w:rsidRPr="00240208" w:rsidRDefault="000E3119">
      <w:pPr>
        <w:ind w:firstLine="360"/>
        <w:rPr>
          <w:b/>
          <w:bCs/>
          <w:i/>
          <w:iCs/>
          <w:u w:val="single"/>
        </w:rPr>
      </w:pPr>
      <w:r w:rsidRPr="00240208">
        <w:rPr>
          <w:b/>
          <w:bCs/>
          <w:i/>
          <w:iCs/>
          <w:u w:val="single"/>
        </w:rPr>
        <w:t>Objectifs :</w:t>
      </w:r>
    </w:p>
    <w:p w:rsidR="0081060D" w:rsidRPr="00240208" w:rsidRDefault="000E3119">
      <w:pPr>
        <w:ind w:firstLine="708"/>
      </w:pPr>
      <w:r w:rsidRPr="00240208">
        <w:t xml:space="preserve">- Intégrer des dispositions sur les crimes technologiques, incluant le détournement de systèmes </w:t>
      </w:r>
      <w:r w:rsidRPr="00240208">
        <w:tab/>
      </w:r>
      <w:r w:rsidRPr="00240208">
        <w:tab/>
        <w:t>cryptographiques.</w:t>
      </w:r>
    </w:p>
    <w:p w:rsidR="0081060D" w:rsidRPr="00240208" w:rsidRDefault="000E3119">
      <w:pPr>
        <w:ind w:firstLine="708"/>
      </w:pPr>
      <w:r w:rsidRPr="00240208">
        <w:t xml:space="preserve">- Sanctionner la falsification de preuves numériques ou l'altération de données </w:t>
      </w:r>
      <w:r w:rsidRPr="00240208">
        <w:t>chiffrées.</w:t>
      </w:r>
    </w:p>
    <w:p w:rsidR="0081060D" w:rsidRPr="00240208" w:rsidRDefault="0081060D">
      <w:pPr>
        <w:ind w:firstLine="360"/>
        <w:rPr>
          <w:b/>
          <w:bCs/>
          <w:i/>
          <w:iCs/>
          <w:u w:val="single"/>
        </w:rPr>
      </w:pPr>
    </w:p>
    <w:p w:rsidR="0081060D" w:rsidRPr="00240208" w:rsidRDefault="0081060D">
      <w:pPr>
        <w:ind w:firstLine="360"/>
        <w:rPr>
          <w:b/>
          <w:bCs/>
          <w:i/>
          <w:iCs/>
          <w:u w:val="single"/>
        </w:rPr>
      </w:pPr>
    </w:p>
    <w:p w:rsidR="0081060D" w:rsidRDefault="000E3119">
      <w:pPr>
        <w:ind w:firstLine="360"/>
        <w:rPr>
          <w:b/>
          <w:bCs/>
          <w:i/>
          <w:iCs/>
          <w:u w:val="single"/>
          <w:lang w:val="en-US"/>
        </w:rPr>
      </w:pPr>
      <w:proofErr w:type="gramStart"/>
      <w:r>
        <w:rPr>
          <w:b/>
          <w:bCs/>
          <w:i/>
          <w:iCs/>
          <w:u w:val="single"/>
          <w:lang w:val="en-US"/>
        </w:rPr>
        <w:lastRenderedPageBreak/>
        <w:t>Sanctions :</w:t>
      </w:r>
      <w:proofErr w:type="gramEnd"/>
    </w:p>
    <w:p w:rsidR="0081060D" w:rsidRPr="00240208" w:rsidRDefault="000E3119">
      <w:pPr>
        <w:numPr>
          <w:ilvl w:val="0"/>
          <w:numId w:val="5"/>
        </w:numPr>
        <w:tabs>
          <w:tab w:val="clear" w:pos="1265"/>
        </w:tabs>
      </w:pPr>
      <w:r w:rsidRPr="00240208">
        <w:t xml:space="preserve">Cyberattaques avec outils </w:t>
      </w:r>
      <w:proofErr w:type="gramStart"/>
      <w:r w:rsidRPr="00240208">
        <w:t>cryptographiques(</w:t>
      </w:r>
      <w:proofErr w:type="gramEnd"/>
      <w:r w:rsidRPr="00240208">
        <w:t>Art. 20) :</w:t>
      </w:r>
    </w:p>
    <w:p w:rsidR="0081060D" w:rsidRPr="00240208" w:rsidRDefault="000E3119">
      <w:pPr>
        <w:ind w:left="708" w:firstLine="708"/>
      </w:pPr>
      <w:r w:rsidRPr="00240208">
        <w:t>- Emprisonnement jusqu’à 15 ans si ciblant des infrastructures critiques.</w:t>
      </w:r>
    </w:p>
    <w:p w:rsidR="0081060D" w:rsidRPr="00240208" w:rsidRDefault="000E3119">
      <w:pPr>
        <w:numPr>
          <w:ilvl w:val="0"/>
          <w:numId w:val="6"/>
        </w:numPr>
        <w:tabs>
          <w:tab w:val="clear" w:pos="1272"/>
          <w:tab w:val="left" w:pos="432"/>
        </w:tabs>
      </w:pPr>
      <w:r w:rsidRPr="00240208">
        <w:t>Transfert non autorisé de technologies sensibles (Art. 21) :</w:t>
      </w:r>
    </w:p>
    <w:p w:rsidR="0081060D" w:rsidRPr="00240208" w:rsidRDefault="000E3119">
      <w:pPr>
        <w:ind w:left="708" w:firstLine="708"/>
      </w:pPr>
      <w:r w:rsidRPr="00240208">
        <w:t xml:space="preserve">- Amendes jusqu’à 2 millions AED et </w:t>
      </w:r>
      <w:r w:rsidRPr="00240208">
        <w:t>interdiction d’exercice.</w:t>
      </w:r>
    </w:p>
    <w:p w:rsidR="0081060D" w:rsidRDefault="000E3119">
      <w:pPr>
        <w:pStyle w:val="Titre2"/>
        <w:rPr>
          <w:rFonts w:eastAsia="Cambria"/>
          <w:lang w:val="en-US"/>
        </w:rPr>
      </w:pPr>
      <w:bookmarkStart w:id="15" w:name="_Toc199703863"/>
      <w:r>
        <w:rPr>
          <w:rFonts w:eastAsia="Cambria"/>
          <w:lang w:val="en-US"/>
        </w:rPr>
        <w:t xml:space="preserve">Federal Decree-Law on Electronic Transactions and Trust Services </w:t>
      </w:r>
      <w:r>
        <w:rPr>
          <w:rFonts w:eastAsia="Cambria"/>
          <w:lang w:val="en-US"/>
        </w:rPr>
        <w:t>[8]</w:t>
      </w:r>
      <w:bookmarkEnd w:id="15"/>
    </w:p>
    <w:p w:rsidR="0081060D" w:rsidRPr="00240208" w:rsidRDefault="000E3119">
      <w:pPr>
        <w:ind w:firstLine="360"/>
      </w:pPr>
      <w:r w:rsidRPr="00240208">
        <w:rPr>
          <w:b/>
          <w:bCs/>
          <w:i/>
          <w:iCs/>
          <w:u w:val="single"/>
        </w:rPr>
        <w:t>N</w:t>
      </w:r>
      <w:r w:rsidRPr="00240208">
        <w:rPr>
          <w:b/>
          <w:bCs/>
          <w:i/>
          <w:iCs/>
          <w:u w:val="single"/>
        </w:rPr>
        <w:t xml:space="preserve">uméro du </w:t>
      </w:r>
      <w:proofErr w:type="gramStart"/>
      <w:r w:rsidRPr="00240208">
        <w:rPr>
          <w:b/>
          <w:bCs/>
          <w:i/>
          <w:iCs/>
          <w:u w:val="single"/>
        </w:rPr>
        <w:t>loi:</w:t>
      </w:r>
      <w:proofErr w:type="gramEnd"/>
      <w:r w:rsidRPr="00240208">
        <w:t xml:space="preserve"> 46</w:t>
      </w:r>
    </w:p>
    <w:p w:rsidR="0081060D" w:rsidRPr="00240208" w:rsidRDefault="000E3119">
      <w:pPr>
        <w:ind w:firstLine="360"/>
      </w:pPr>
      <w:r w:rsidRPr="00240208">
        <w:rPr>
          <w:b/>
          <w:bCs/>
          <w:i/>
          <w:iCs/>
          <w:u w:val="single"/>
        </w:rPr>
        <w:t>Date de promulgation :</w:t>
      </w:r>
      <w:r w:rsidRPr="00240208">
        <w:t xml:space="preserve"> 22 Sep 2021</w:t>
      </w:r>
    </w:p>
    <w:p w:rsidR="0081060D" w:rsidRPr="00240208" w:rsidRDefault="000E3119">
      <w:pPr>
        <w:ind w:firstLine="360"/>
        <w:rPr>
          <w:b/>
          <w:bCs/>
          <w:i/>
          <w:iCs/>
          <w:u w:val="single"/>
        </w:rPr>
      </w:pPr>
      <w:r w:rsidRPr="00240208">
        <w:rPr>
          <w:b/>
          <w:bCs/>
          <w:i/>
          <w:iCs/>
          <w:u w:val="single"/>
        </w:rPr>
        <w:t>Objectifs :</w:t>
      </w:r>
    </w:p>
    <w:p w:rsidR="0081060D" w:rsidRPr="00240208" w:rsidRDefault="000E3119">
      <w:pPr>
        <w:ind w:firstLine="708"/>
      </w:pPr>
      <w:r w:rsidRPr="00240208">
        <w:t>- Réglementer les transactions électroniques et établir des services de confiance pour assurer le</w:t>
      </w:r>
      <w:r w:rsidRPr="00240208">
        <w:t xml:space="preserve">ur </w:t>
      </w:r>
      <w:r w:rsidRPr="00240208">
        <w:tab/>
        <w:t>intégrité.</w:t>
      </w:r>
    </w:p>
    <w:p w:rsidR="0081060D" w:rsidRPr="00240208" w:rsidRDefault="000E3119">
      <w:pPr>
        <w:ind w:firstLine="708"/>
      </w:pPr>
      <w:r w:rsidRPr="00240208">
        <w:t>- Définir les conditions d'utilisation des signatures électroniques et des certificats numériques.</w:t>
      </w:r>
    </w:p>
    <w:p w:rsidR="0081060D" w:rsidRPr="00240208" w:rsidRDefault="000E3119">
      <w:pPr>
        <w:ind w:firstLine="708"/>
      </w:pPr>
      <w:r w:rsidRPr="00240208">
        <w:t>- Encadrer les prestataires de services de certification et les mécanismes de cryptographie associés.</w:t>
      </w:r>
    </w:p>
    <w:p w:rsidR="0081060D" w:rsidRPr="00240208" w:rsidRDefault="000E3119">
      <w:pPr>
        <w:ind w:firstLine="360"/>
        <w:rPr>
          <w:b/>
          <w:bCs/>
          <w:i/>
          <w:iCs/>
          <w:u w:val="single"/>
        </w:rPr>
      </w:pPr>
      <w:r w:rsidRPr="00240208">
        <w:rPr>
          <w:b/>
          <w:bCs/>
          <w:i/>
          <w:iCs/>
          <w:u w:val="single"/>
        </w:rPr>
        <w:t>Sanctions :</w:t>
      </w:r>
    </w:p>
    <w:p w:rsidR="0081060D" w:rsidRPr="00240208" w:rsidRDefault="000E3119">
      <w:pPr>
        <w:ind w:firstLine="708"/>
      </w:pPr>
      <w:r w:rsidRPr="00240208">
        <w:t>- Le chapitre IV du décret-l</w:t>
      </w:r>
      <w:r w:rsidRPr="00240208">
        <w:t>oi détaille les infractions et les sanctions correspondantes, i</w:t>
      </w:r>
      <w:r w:rsidRPr="00240208">
        <w:tab/>
      </w:r>
      <w:proofErr w:type="spellStart"/>
      <w:r w:rsidRPr="00240208">
        <w:t>ncluant</w:t>
      </w:r>
      <w:proofErr w:type="spellEnd"/>
      <w:r w:rsidRPr="00240208">
        <w:t xml:space="preserve"> </w:t>
      </w:r>
      <w:r w:rsidRPr="00240208">
        <w:tab/>
        <w:t xml:space="preserve">des amendes et des peines d'emprisonnement pour les violations liées à l'utilisation abusive </w:t>
      </w:r>
      <w:r w:rsidRPr="00240208">
        <w:tab/>
      </w:r>
      <w:r w:rsidRPr="00240208">
        <w:tab/>
        <w:t>des services de confiance et des technologies de cryptographie.</w:t>
      </w:r>
    </w:p>
    <w:p w:rsidR="0081060D" w:rsidRDefault="000E3119">
      <w:pPr>
        <w:pStyle w:val="Titre2"/>
        <w:rPr>
          <w:rFonts w:eastAsia="Cambria"/>
          <w:lang w:val="en-US"/>
        </w:rPr>
      </w:pPr>
      <w:bookmarkStart w:id="16" w:name="_Toc199703864"/>
      <w:r>
        <w:rPr>
          <w:rFonts w:eastAsia="Cambria"/>
          <w:lang w:val="en-US"/>
        </w:rPr>
        <w:t>Federal Decree-Law promu</w:t>
      </w:r>
      <w:r>
        <w:rPr>
          <w:rFonts w:eastAsia="Cambria"/>
          <w:lang w:val="en-US"/>
        </w:rPr>
        <w:t xml:space="preserve">lgating the Criminal Procedures Law </w:t>
      </w:r>
      <w:r>
        <w:rPr>
          <w:rFonts w:eastAsia="Cambria"/>
          <w:lang w:val="en-US"/>
        </w:rPr>
        <w:t>[9]</w:t>
      </w:r>
      <w:bookmarkEnd w:id="16"/>
    </w:p>
    <w:p w:rsidR="0081060D" w:rsidRPr="00240208" w:rsidRDefault="000E3119">
      <w:pPr>
        <w:ind w:firstLine="360"/>
      </w:pPr>
      <w:r w:rsidRPr="00240208">
        <w:rPr>
          <w:b/>
          <w:bCs/>
          <w:i/>
          <w:iCs/>
          <w:u w:val="single"/>
        </w:rPr>
        <w:t>N</w:t>
      </w:r>
      <w:r w:rsidRPr="00240208">
        <w:rPr>
          <w:b/>
          <w:bCs/>
          <w:i/>
          <w:iCs/>
          <w:u w:val="single"/>
        </w:rPr>
        <w:t xml:space="preserve">uméro du </w:t>
      </w:r>
      <w:proofErr w:type="gramStart"/>
      <w:r w:rsidRPr="00240208">
        <w:rPr>
          <w:b/>
          <w:bCs/>
          <w:i/>
          <w:iCs/>
          <w:u w:val="single"/>
        </w:rPr>
        <w:t>loi:</w:t>
      </w:r>
      <w:proofErr w:type="gramEnd"/>
      <w:r w:rsidRPr="00240208">
        <w:t xml:space="preserve"> 38</w:t>
      </w:r>
    </w:p>
    <w:p w:rsidR="0081060D" w:rsidRPr="00240208" w:rsidRDefault="000E3119">
      <w:pPr>
        <w:ind w:firstLine="360"/>
      </w:pPr>
      <w:r w:rsidRPr="00240208">
        <w:rPr>
          <w:b/>
          <w:bCs/>
          <w:i/>
          <w:iCs/>
          <w:u w:val="single"/>
        </w:rPr>
        <w:t>Date de promulgation :</w:t>
      </w:r>
      <w:r w:rsidRPr="00240208">
        <w:t xml:space="preserve"> 10 </w:t>
      </w:r>
      <w:proofErr w:type="spellStart"/>
      <w:r w:rsidRPr="00240208">
        <w:t>Oct</w:t>
      </w:r>
      <w:proofErr w:type="spellEnd"/>
      <w:r w:rsidRPr="00240208">
        <w:t xml:space="preserve"> 2022</w:t>
      </w:r>
    </w:p>
    <w:p w:rsidR="0081060D" w:rsidRPr="00240208" w:rsidRDefault="000E3119">
      <w:pPr>
        <w:ind w:firstLine="360"/>
        <w:rPr>
          <w:b/>
          <w:bCs/>
          <w:i/>
          <w:iCs/>
          <w:u w:val="single"/>
        </w:rPr>
      </w:pPr>
      <w:r w:rsidRPr="00240208">
        <w:rPr>
          <w:b/>
          <w:bCs/>
          <w:i/>
          <w:iCs/>
          <w:u w:val="single"/>
        </w:rPr>
        <w:t>Objectifs :</w:t>
      </w:r>
    </w:p>
    <w:p w:rsidR="0081060D" w:rsidRPr="00240208" w:rsidRDefault="000E3119">
      <w:pPr>
        <w:ind w:firstLine="708"/>
      </w:pPr>
      <w:r w:rsidRPr="00240208">
        <w:t>- Moderniser les procédures pénales en intégrant l'utilisation des technologies de l'information.</w:t>
      </w:r>
    </w:p>
    <w:p w:rsidR="0081060D" w:rsidRPr="00240208" w:rsidRDefault="000E3119">
      <w:pPr>
        <w:ind w:firstLine="708"/>
      </w:pPr>
      <w:r w:rsidRPr="00240208">
        <w:t xml:space="preserve">- Permettre l'utilisation des signatures électroniques et des documents électroniques dans les </w:t>
      </w:r>
      <w:r w:rsidRPr="00240208">
        <w:tab/>
      </w:r>
      <w:r w:rsidRPr="00240208">
        <w:tab/>
        <w:t>procédures judiciaires.</w:t>
      </w:r>
    </w:p>
    <w:p w:rsidR="0081060D" w:rsidRPr="00240208" w:rsidRDefault="000E3119">
      <w:pPr>
        <w:ind w:firstLine="708"/>
      </w:pPr>
      <w:r w:rsidRPr="00240208">
        <w:t>- Assurer la validité juridique des preuves électroniques.</w:t>
      </w:r>
    </w:p>
    <w:p w:rsidR="0081060D" w:rsidRPr="00240208" w:rsidRDefault="000E3119">
      <w:pPr>
        <w:ind w:firstLine="360"/>
        <w:rPr>
          <w:b/>
          <w:bCs/>
          <w:i/>
          <w:iCs/>
          <w:u w:val="single"/>
        </w:rPr>
      </w:pPr>
      <w:r w:rsidRPr="00240208">
        <w:rPr>
          <w:b/>
          <w:bCs/>
          <w:i/>
          <w:iCs/>
          <w:u w:val="single"/>
        </w:rPr>
        <w:t>Sanctions :</w:t>
      </w:r>
    </w:p>
    <w:p w:rsidR="0081060D" w:rsidRPr="00240208" w:rsidRDefault="000E3119">
      <w:pPr>
        <w:ind w:firstLine="708"/>
      </w:pPr>
      <w:r w:rsidRPr="00240208">
        <w:t xml:space="preserve">- Le décret-loi prévoit des dispositions concernant la validité </w:t>
      </w:r>
      <w:r w:rsidRPr="00240208">
        <w:t xml:space="preserve">des signatures électroniques et des </w:t>
      </w:r>
      <w:r w:rsidRPr="00240208">
        <w:tab/>
        <w:t xml:space="preserve">documents électroniques, leur conférant la même force probante que les documents papier, à </w:t>
      </w:r>
      <w:r w:rsidRPr="00240208">
        <w:tab/>
        <w:t>condition qu'ils respectent les normes établies.</w:t>
      </w:r>
    </w:p>
    <w:p w:rsidR="0081060D" w:rsidRPr="00240208" w:rsidRDefault="0081060D">
      <w:pPr>
        <w:ind w:left="708" w:firstLine="708"/>
      </w:pPr>
    </w:p>
    <w:p w:rsidR="0081060D" w:rsidRDefault="000E3119">
      <w:pPr>
        <w:pStyle w:val="Titre2"/>
        <w:rPr>
          <w:rFonts w:eastAsia="Cambria"/>
          <w:lang w:val="en-US"/>
        </w:rPr>
      </w:pPr>
      <w:bookmarkStart w:id="17" w:name="_Toc199703865"/>
      <w:r>
        <w:rPr>
          <w:rFonts w:eastAsia="Cambria"/>
          <w:lang w:val="en-US"/>
        </w:rPr>
        <w:lastRenderedPageBreak/>
        <w:t xml:space="preserve">Federal Decree-Law concerning the Protection of Personal Data </w:t>
      </w:r>
      <w:r>
        <w:rPr>
          <w:rFonts w:eastAsia="Cambria"/>
          <w:lang w:val="en-US"/>
        </w:rPr>
        <w:t>[10]</w:t>
      </w:r>
      <w:bookmarkEnd w:id="17"/>
    </w:p>
    <w:p w:rsidR="0081060D" w:rsidRPr="00240208" w:rsidRDefault="000E3119">
      <w:pPr>
        <w:ind w:firstLine="360"/>
      </w:pPr>
      <w:r w:rsidRPr="00240208">
        <w:rPr>
          <w:b/>
          <w:bCs/>
          <w:i/>
          <w:iCs/>
          <w:u w:val="single"/>
        </w:rPr>
        <w:t>N</w:t>
      </w:r>
      <w:r w:rsidRPr="00240208">
        <w:rPr>
          <w:b/>
          <w:bCs/>
          <w:i/>
          <w:iCs/>
          <w:u w:val="single"/>
        </w:rPr>
        <w:t xml:space="preserve">uméro du </w:t>
      </w:r>
      <w:proofErr w:type="gramStart"/>
      <w:r w:rsidRPr="00240208">
        <w:rPr>
          <w:b/>
          <w:bCs/>
          <w:i/>
          <w:iCs/>
          <w:u w:val="single"/>
        </w:rPr>
        <w:t>loi:</w:t>
      </w:r>
      <w:proofErr w:type="gramEnd"/>
      <w:r w:rsidRPr="00240208">
        <w:t xml:space="preserve"> 45</w:t>
      </w:r>
    </w:p>
    <w:p w:rsidR="0081060D" w:rsidRPr="00240208" w:rsidRDefault="000E3119">
      <w:pPr>
        <w:ind w:firstLine="360"/>
      </w:pPr>
      <w:r w:rsidRPr="00240208">
        <w:rPr>
          <w:b/>
          <w:bCs/>
          <w:i/>
          <w:iCs/>
          <w:u w:val="single"/>
        </w:rPr>
        <w:t>Date de promulgation :</w:t>
      </w:r>
      <w:r w:rsidRPr="00240208">
        <w:t xml:space="preserve"> 26 Sep 2021</w:t>
      </w:r>
    </w:p>
    <w:p w:rsidR="0081060D" w:rsidRPr="00240208" w:rsidRDefault="000E3119">
      <w:pPr>
        <w:ind w:firstLine="360"/>
        <w:rPr>
          <w:b/>
          <w:bCs/>
          <w:i/>
          <w:iCs/>
          <w:u w:val="single"/>
        </w:rPr>
      </w:pPr>
      <w:r w:rsidRPr="00240208">
        <w:rPr>
          <w:b/>
          <w:bCs/>
          <w:i/>
          <w:iCs/>
          <w:u w:val="single"/>
        </w:rPr>
        <w:t>Objectifs :</w:t>
      </w:r>
    </w:p>
    <w:p w:rsidR="0081060D" w:rsidRPr="00240208" w:rsidRDefault="000E3119">
      <w:pPr>
        <w:ind w:firstLine="708"/>
      </w:pPr>
      <w:r w:rsidRPr="00240208">
        <w:t>- Établir un cadre juridique pour la protection des données personnelles.</w:t>
      </w:r>
    </w:p>
    <w:p w:rsidR="0081060D" w:rsidRPr="00240208" w:rsidRDefault="000E3119">
      <w:pPr>
        <w:ind w:firstLine="708"/>
      </w:pPr>
      <w:r w:rsidRPr="00240208">
        <w:t>- Réglementer le traitement des données personnelles, y compris celles liées à la cryptographie.</w:t>
      </w:r>
    </w:p>
    <w:p w:rsidR="0081060D" w:rsidRPr="00240208" w:rsidRDefault="000E3119">
      <w:pPr>
        <w:ind w:firstLine="708"/>
      </w:pPr>
      <w:r w:rsidRPr="00240208">
        <w:t xml:space="preserve">- Garantir les droits des </w:t>
      </w:r>
      <w:r w:rsidRPr="00240208">
        <w:t>individus concernant leurs données personnelles.</w:t>
      </w:r>
    </w:p>
    <w:p w:rsidR="0081060D" w:rsidRPr="00240208" w:rsidRDefault="000E3119">
      <w:pPr>
        <w:ind w:firstLine="360"/>
        <w:rPr>
          <w:b/>
          <w:bCs/>
          <w:i/>
          <w:iCs/>
          <w:u w:val="single"/>
        </w:rPr>
      </w:pPr>
      <w:r w:rsidRPr="00240208">
        <w:rPr>
          <w:b/>
          <w:bCs/>
          <w:i/>
          <w:iCs/>
          <w:u w:val="single"/>
        </w:rPr>
        <w:t>Sanctions :</w:t>
      </w:r>
    </w:p>
    <w:p w:rsidR="0081060D" w:rsidRPr="00240208" w:rsidRDefault="000E3119">
      <w:pPr>
        <w:ind w:firstLine="708"/>
      </w:pPr>
      <w:r w:rsidRPr="00240208">
        <w:t xml:space="preserve">- Bien que le décret-loi ne spécifie pas de sanctions pénales directes, il impose des obligations </w:t>
      </w:r>
      <w:r w:rsidRPr="00240208">
        <w:tab/>
        <w:t xml:space="preserve">strictes aux responsables du traitement des données, notamment en matière de sécurité et de </w:t>
      </w:r>
      <w:r w:rsidRPr="00240208">
        <w:tab/>
        <w:t>con</w:t>
      </w:r>
      <w:r w:rsidRPr="00240208">
        <w:t>fidentialité. Le non-respect de ces obligations peut entraîner des sanctions administratives.</w:t>
      </w: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ind w:left="708" w:firstLine="708"/>
      </w:pPr>
    </w:p>
    <w:p w:rsidR="0081060D" w:rsidRPr="00240208" w:rsidRDefault="0081060D">
      <w:pPr>
        <w:sectPr w:rsidR="0081060D" w:rsidRPr="00240208">
          <w:pgSz w:w="11906" w:h="16838"/>
          <w:pgMar w:top="567" w:right="567" w:bottom="567" w:left="1134" w:header="709" w:footer="454" w:gutter="0"/>
          <w:cols w:space="708"/>
          <w:docGrid w:linePitch="360"/>
        </w:sectPr>
      </w:pPr>
    </w:p>
    <w:p w:rsidR="0081060D" w:rsidRDefault="000E3119">
      <w:pPr>
        <w:pStyle w:val="Titre1"/>
      </w:pPr>
      <w:bookmarkStart w:id="18" w:name="_Toc199703866"/>
      <w:r w:rsidRPr="00240208">
        <w:lastRenderedPageBreak/>
        <w:t>L</w:t>
      </w:r>
      <w:r>
        <w:t>e site gouvernemental des Émirats arabes unis</w:t>
      </w:r>
      <w:bookmarkEnd w:id="18"/>
    </w:p>
    <w:p w:rsidR="0081060D" w:rsidRDefault="000E3119">
      <w:pPr>
        <w:pStyle w:val="Titre2"/>
      </w:pPr>
      <w:bookmarkStart w:id="19" w:name="_Toc199703867"/>
      <w:r>
        <w:t>Introduction</w:t>
      </w:r>
      <w:bookmarkEnd w:id="19"/>
    </w:p>
    <w:p w:rsidR="0081060D" w:rsidRDefault="000E3119">
      <w:pPr>
        <w:ind w:firstLine="360"/>
      </w:pPr>
      <w:r>
        <w:t xml:space="preserve">Le site </w:t>
      </w:r>
      <w:hyperlink r:id="rId11" w:history="1">
        <w:r>
          <w:rPr>
            <w:rStyle w:val="Lienhypertexte"/>
          </w:rPr>
          <w:t>https://uaelegi</w:t>
        </w:r>
        <w:r>
          <w:rPr>
            <w:rStyle w:val="Lienhypertexte"/>
          </w:rPr>
          <w:t>slation.gov.ae/</w:t>
        </w:r>
      </w:hyperlink>
      <w:r>
        <w:t xml:space="preserve"> est la plateforme officielle des législations fédérales des Émirats arabes unis (EAU), gérée par le Secrétariat général du Cabinet en collaboration avec les autorités compétentes. Lancée en février 2024, elle a rapidement gagné en popula</w:t>
      </w:r>
      <w:r>
        <w:t xml:space="preserve">rité, enregistrant plus d’un million de visites au cours de ses cinq premiers mois. Cette plateforme vise à être une ressource unifiée, intégrée et constamment mise à jour pour toutes les législations en vigueur aux EAU, offrant une expérience utilisateur </w:t>
      </w:r>
      <w:r>
        <w:t>fluide pour les résidents, les investisseurs, les touristes et les experts juridiques du monde entier.</w:t>
      </w:r>
    </w:p>
    <w:p w:rsidR="0081060D" w:rsidRDefault="000E3119">
      <w:pPr>
        <w:pStyle w:val="Titre2"/>
      </w:pPr>
      <w:bookmarkStart w:id="20" w:name="_Toc199703868"/>
      <w:r>
        <w:rPr>
          <w:rFonts w:eastAsia="Cambria"/>
        </w:rPr>
        <w:t>Contenu de la plateforme</w:t>
      </w:r>
      <w:bookmarkEnd w:id="20"/>
    </w:p>
    <w:p w:rsidR="0081060D" w:rsidRDefault="000E3119">
      <w:pPr>
        <w:ind w:firstLine="360"/>
      </w:pPr>
      <w:r>
        <w:t>La plateforme regroupe une collection exhaustive de documents juridiques, incluant :</w:t>
      </w:r>
    </w:p>
    <w:p w:rsidR="0081060D" w:rsidRDefault="000E3119">
      <w:pPr>
        <w:ind w:firstLine="708"/>
      </w:pPr>
      <w:r w:rsidRPr="00240208">
        <w:rPr>
          <w:b/>
          <w:bCs/>
          <w:i/>
          <w:iCs/>
        </w:rPr>
        <w:t xml:space="preserve">- </w:t>
      </w:r>
      <w:r>
        <w:rPr>
          <w:b/>
          <w:bCs/>
          <w:i/>
          <w:iCs/>
        </w:rPr>
        <w:t>Économie et affaires :</w:t>
      </w:r>
      <w:r>
        <w:t xml:space="preserve"> Lois sur les transactions commerciales, les entreprises familiales, les </w:t>
      </w:r>
      <w:r w:rsidRPr="00240208">
        <w:tab/>
      </w:r>
      <w:r w:rsidRPr="00240208">
        <w:tab/>
      </w:r>
      <w:r>
        <w:t xml:space="preserve">PME, les agences commerciales, les marques, la concurrence, la lutte contre la fraude </w:t>
      </w:r>
      <w:r w:rsidRPr="00240208">
        <w:tab/>
      </w:r>
      <w:r w:rsidRPr="00240208">
        <w:tab/>
      </w:r>
      <w:r>
        <w:t>commerciale, l’anti-dumping, la protection des consommateurs, le registre économique national</w:t>
      </w:r>
      <w:r>
        <w:t xml:space="preserve">, </w:t>
      </w:r>
      <w:r w:rsidRPr="00240208">
        <w:tab/>
      </w:r>
      <w:r>
        <w:t>et la restructuration financière et la faillite.</w:t>
      </w:r>
    </w:p>
    <w:p w:rsidR="0081060D" w:rsidRDefault="000E3119">
      <w:pPr>
        <w:ind w:firstLine="708"/>
      </w:pPr>
      <w:r w:rsidRPr="00240208">
        <w:rPr>
          <w:b/>
          <w:bCs/>
          <w:i/>
          <w:iCs/>
        </w:rPr>
        <w:t xml:space="preserve">- </w:t>
      </w:r>
      <w:r>
        <w:rPr>
          <w:b/>
          <w:bCs/>
          <w:i/>
          <w:iCs/>
        </w:rPr>
        <w:t>Sécurité et sûreté :</w:t>
      </w:r>
      <w:r>
        <w:t xml:space="preserve"> Réglementations sur les crimes et peines, la lutte contre les rumeurs et </w:t>
      </w:r>
      <w:r w:rsidRPr="00240208">
        <w:tab/>
      </w:r>
      <w:r w:rsidRPr="00240208">
        <w:tab/>
      </w:r>
      <w:r>
        <w:t xml:space="preserve">cybercrimes, le blanchiment d’argent, le financement du terrorisme, la discrimination, </w:t>
      </w:r>
      <w:r w:rsidRPr="00240208">
        <w:tab/>
      </w:r>
      <w:r>
        <w:t>l’extrémisme, la t</w:t>
      </w:r>
      <w:r>
        <w:t>raite humaine, et le contrôle des marchandises liées à la non-prolifération.</w:t>
      </w:r>
    </w:p>
    <w:p w:rsidR="0081060D" w:rsidRPr="00240208" w:rsidRDefault="000E3119">
      <w:pPr>
        <w:ind w:firstLine="708"/>
      </w:pPr>
      <w:r w:rsidRPr="00240208">
        <w:rPr>
          <w:b/>
          <w:bCs/>
          <w:i/>
          <w:iCs/>
        </w:rPr>
        <w:t>- Affaires gouvernementales :</w:t>
      </w:r>
      <w:r w:rsidRPr="00240208">
        <w:t xml:space="preserve"> Lois régissant les opérations de l’État, les compétences législatives, </w:t>
      </w:r>
      <w:r w:rsidRPr="00240208">
        <w:tab/>
        <w:t xml:space="preserve">exécutives et judiciaires, ainsi que les droits et responsabilités des </w:t>
      </w:r>
      <w:r w:rsidRPr="00240208">
        <w:t>citoyens.</w:t>
      </w:r>
    </w:p>
    <w:p w:rsidR="0081060D" w:rsidRDefault="000E3119">
      <w:pPr>
        <w:ind w:firstLine="708"/>
        <w:rPr>
          <w:lang w:val="en-US"/>
        </w:rPr>
      </w:pPr>
      <w:r>
        <w:rPr>
          <w:lang w:val="en-US"/>
        </w:rPr>
        <w:t>etc.</w:t>
      </w: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81060D" w:rsidRDefault="0081060D">
      <w:pPr>
        <w:rPr>
          <w:lang w:val="en-US"/>
        </w:rPr>
      </w:pPr>
    </w:p>
    <w:p w:rsidR="00240208" w:rsidRDefault="000E3119" w:rsidP="00240208">
      <w:pPr>
        <w:keepNext/>
      </w:pPr>
      <w:r>
        <w:rPr>
          <w:noProof/>
          <w:lang w:val="en-US"/>
        </w:rPr>
        <w:lastRenderedPageBreak/>
        <w:drawing>
          <wp:inline distT="0" distB="0" distL="114300" distR="114300">
            <wp:extent cx="6470650" cy="3268980"/>
            <wp:effectExtent l="9525" t="9525" r="15875" b="17145"/>
            <wp:docPr id="8" name="Picture 8" descr="Screenshot from 2025-06-01 18-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5-06-01 18-18-13"/>
                    <pic:cNvPicPr>
                      <a:picLocks noChangeAspect="1"/>
                    </pic:cNvPicPr>
                  </pic:nvPicPr>
                  <pic:blipFill>
                    <a:blip r:embed="rId12"/>
                    <a:stretch>
                      <a:fillRect/>
                    </a:stretch>
                  </pic:blipFill>
                  <pic:spPr>
                    <a:xfrm>
                      <a:off x="0" y="0"/>
                      <a:ext cx="6470650" cy="3268980"/>
                    </a:xfrm>
                    <a:prstGeom prst="rect">
                      <a:avLst/>
                    </a:prstGeom>
                    <a:ln>
                      <a:solidFill>
                        <a:schemeClr val="tx1"/>
                      </a:solidFill>
                    </a:ln>
                  </pic:spPr>
                </pic:pic>
              </a:graphicData>
            </a:graphic>
          </wp:inline>
        </w:drawing>
      </w:r>
    </w:p>
    <w:p w:rsidR="0081060D" w:rsidRPr="00240208" w:rsidRDefault="00240208" w:rsidP="00240208">
      <w:pPr>
        <w:pStyle w:val="Lgende"/>
        <w:jc w:val="center"/>
      </w:pPr>
      <w:bookmarkStart w:id="21" w:name="_Toc199703838"/>
      <w:r>
        <w:t xml:space="preserve">Figure </w:t>
      </w:r>
      <w:fldSimple w:instr=" SEQ Figure \* ARABIC ">
        <w:r>
          <w:rPr>
            <w:noProof/>
          </w:rPr>
          <w:t>1</w:t>
        </w:r>
      </w:fldSimple>
      <w:r>
        <w:t xml:space="preserve">: </w:t>
      </w:r>
      <w:r w:rsidRPr="00F96DC6">
        <w:t>Contenu de la plateforme</w:t>
      </w:r>
      <w:bookmarkEnd w:id="21"/>
    </w:p>
    <w:p w:rsidR="0081060D" w:rsidRDefault="0081060D" w:rsidP="00240208">
      <w:pPr>
        <w:ind w:firstLine="360"/>
        <w:jc w:val="center"/>
      </w:pPr>
    </w:p>
    <w:p w:rsidR="0081060D" w:rsidRDefault="000E3119">
      <w:pPr>
        <w:pStyle w:val="Titre2"/>
      </w:pPr>
      <w:bookmarkStart w:id="22" w:name="_Toc199703869"/>
      <w:r>
        <w:rPr>
          <w:rFonts w:eastAsia="Cambria"/>
        </w:rPr>
        <w:t>Organisation des lois</w:t>
      </w:r>
      <w:bookmarkEnd w:id="22"/>
    </w:p>
    <w:p w:rsidR="0081060D" w:rsidRDefault="000E3119">
      <w:pPr>
        <w:ind w:firstLine="360"/>
      </w:pPr>
      <w:r>
        <w:t>Les législations sont classées selon :</w:t>
      </w:r>
    </w:p>
    <w:p w:rsidR="0081060D" w:rsidRPr="00240208" w:rsidRDefault="000E3119">
      <w:pPr>
        <w:ind w:firstLine="708"/>
      </w:pPr>
      <w:r w:rsidRPr="00240208">
        <w:rPr>
          <w:b/>
          <w:bCs/>
          <w:i/>
          <w:iCs/>
        </w:rPr>
        <w:t xml:space="preserve">- Thèmes principaux : </w:t>
      </w:r>
      <w:r w:rsidRPr="00240208">
        <w:t xml:space="preserve">Par exemple, les législations économiques regroupent des sous-catégories </w:t>
      </w:r>
      <w:r w:rsidRPr="00240208">
        <w:tab/>
        <w:t>comme les transactions commerciales ou la protection des consommateurs.</w:t>
      </w:r>
    </w:p>
    <w:p w:rsidR="0081060D" w:rsidRDefault="000E3119">
      <w:pPr>
        <w:ind w:firstLine="708"/>
      </w:pPr>
      <w:r w:rsidRPr="00240208">
        <w:rPr>
          <w:b/>
          <w:bCs/>
          <w:i/>
          <w:iCs/>
        </w:rPr>
        <w:t>- Catégories spécifiques aux utilisateurs :</w:t>
      </w:r>
      <w:r w:rsidRPr="00240208">
        <w:t xml:space="preserve"> Conçues pour des groupes tels que les investisseurs, </w:t>
      </w:r>
      <w:r w:rsidRPr="00240208">
        <w:tab/>
        <w:t>entrepreneurs, visiteurs ou touristes, facilitant l’accès aux lois pertinentes pour chaque public.</w:t>
      </w:r>
    </w:p>
    <w:p w:rsidR="00240208" w:rsidRDefault="000E3119" w:rsidP="00240208">
      <w:pPr>
        <w:keepNext/>
      </w:pPr>
      <w:r>
        <w:rPr>
          <w:noProof/>
          <w:lang w:val="en-US"/>
        </w:rPr>
        <w:drawing>
          <wp:inline distT="0" distB="0" distL="114300" distR="114300">
            <wp:extent cx="6470650" cy="3268980"/>
            <wp:effectExtent l="9525" t="9525" r="15875" b="17145"/>
            <wp:docPr id="10" name="Picture 10" descr="Screenshot from 2025-06-01 19-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5-06-01 19-33-04"/>
                    <pic:cNvPicPr>
                      <a:picLocks noChangeAspect="1"/>
                    </pic:cNvPicPr>
                  </pic:nvPicPr>
                  <pic:blipFill>
                    <a:blip r:embed="rId13"/>
                    <a:stretch>
                      <a:fillRect/>
                    </a:stretch>
                  </pic:blipFill>
                  <pic:spPr>
                    <a:xfrm>
                      <a:off x="0" y="0"/>
                      <a:ext cx="6470650" cy="3268980"/>
                    </a:xfrm>
                    <a:prstGeom prst="rect">
                      <a:avLst/>
                    </a:prstGeom>
                    <a:ln>
                      <a:solidFill>
                        <a:schemeClr val="tx1"/>
                      </a:solidFill>
                    </a:ln>
                  </pic:spPr>
                </pic:pic>
              </a:graphicData>
            </a:graphic>
          </wp:inline>
        </w:drawing>
      </w:r>
    </w:p>
    <w:p w:rsidR="0081060D" w:rsidRDefault="00240208" w:rsidP="00240208">
      <w:pPr>
        <w:pStyle w:val="Lgende"/>
        <w:jc w:val="center"/>
        <w:rPr>
          <w:lang w:val="en-US"/>
        </w:rPr>
        <w:sectPr w:rsidR="0081060D">
          <w:pgSz w:w="11906" w:h="16838"/>
          <w:pgMar w:top="567" w:right="567" w:bottom="567" w:left="1134" w:header="709" w:footer="454" w:gutter="0"/>
          <w:cols w:space="708"/>
          <w:docGrid w:linePitch="360"/>
        </w:sectPr>
      </w:pPr>
      <w:bookmarkStart w:id="23" w:name="_Toc199703839"/>
      <w:r>
        <w:t xml:space="preserve">Figure </w:t>
      </w:r>
      <w:fldSimple w:instr=" SEQ Figure \* ARABIC ">
        <w:r>
          <w:rPr>
            <w:noProof/>
          </w:rPr>
          <w:t>2</w:t>
        </w:r>
      </w:fldSimple>
      <w:r>
        <w:t xml:space="preserve">: </w:t>
      </w:r>
      <w:r w:rsidRPr="006F0394">
        <w:t>Organisation des lois</w:t>
      </w:r>
      <w:bookmarkEnd w:id="23"/>
      <w:r>
        <w:t xml:space="preserve"> </w:t>
      </w:r>
    </w:p>
    <w:p w:rsidR="0081060D" w:rsidRDefault="000E3119">
      <w:pPr>
        <w:pStyle w:val="Titre2"/>
      </w:pPr>
      <w:bookmarkStart w:id="24" w:name="_Toc199703870"/>
      <w:r>
        <w:rPr>
          <w:rFonts w:eastAsia="Cambria"/>
        </w:rPr>
        <w:lastRenderedPageBreak/>
        <w:t>Exemple de législation</w:t>
      </w:r>
      <w:bookmarkEnd w:id="24"/>
    </w:p>
    <w:p w:rsidR="00240208" w:rsidRDefault="000E3119" w:rsidP="00240208">
      <w:pPr>
        <w:keepNext/>
      </w:pPr>
      <w:r>
        <w:rPr>
          <w:noProof/>
          <w:lang w:val="en-US"/>
        </w:rPr>
        <w:drawing>
          <wp:inline distT="0" distB="0" distL="114300" distR="114300">
            <wp:extent cx="6470650" cy="3268980"/>
            <wp:effectExtent l="9525" t="9525" r="15875" b="17145"/>
            <wp:docPr id="11" name="Picture 11" descr="Screenshot from 2025-06-01 19-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5-06-01 19-35-53"/>
                    <pic:cNvPicPr>
                      <a:picLocks noChangeAspect="1"/>
                    </pic:cNvPicPr>
                  </pic:nvPicPr>
                  <pic:blipFill>
                    <a:blip r:embed="rId14"/>
                    <a:stretch>
                      <a:fillRect/>
                    </a:stretch>
                  </pic:blipFill>
                  <pic:spPr>
                    <a:xfrm>
                      <a:off x="0" y="0"/>
                      <a:ext cx="6470650" cy="3268980"/>
                    </a:xfrm>
                    <a:prstGeom prst="rect">
                      <a:avLst/>
                    </a:prstGeom>
                    <a:ln>
                      <a:solidFill>
                        <a:schemeClr val="tx1"/>
                      </a:solidFill>
                    </a:ln>
                  </pic:spPr>
                </pic:pic>
              </a:graphicData>
            </a:graphic>
          </wp:inline>
        </w:drawing>
      </w:r>
    </w:p>
    <w:p w:rsidR="0081060D" w:rsidRDefault="00240208" w:rsidP="00240208">
      <w:pPr>
        <w:pStyle w:val="Lgende"/>
        <w:jc w:val="center"/>
        <w:rPr>
          <w:lang w:val="en-US"/>
        </w:rPr>
      </w:pPr>
      <w:bookmarkStart w:id="25" w:name="_Toc199703840"/>
      <w:r>
        <w:t xml:space="preserve">Figure </w:t>
      </w:r>
      <w:fldSimple w:instr=" SEQ Figure \* ARABIC ">
        <w:r>
          <w:rPr>
            <w:noProof/>
          </w:rPr>
          <w:t>3</w:t>
        </w:r>
      </w:fldSimple>
      <w:r>
        <w:t xml:space="preserve">: </w:t>
      </w:r>
      <w:r w:rsidRPr="00B16520">
        <w:t>Exemple de législation</w:t>
      </w:r>
      <w:r>
        <w:t xml:space="preserve"> 1</w:t>
      </w:r>
      <w:bookmarkEnd w:id="25"/>
    </w:p>
    <w:p w:rsidR="0081060D" w:rsidRDefault="0081060D">
      <w:pPr>
        <w:rPr>
          <w:lang w:val="en-US"/>
        </w:rPr>
      </w:pPr>
    </w:p>
    <w:p w:rsidR="00240208" w:rsidRDefault="000E3119" w:rsidP="00240208">
      <w:pPr>
        <w:keepNext/>
      </w:pPr>
      <w:r>
        <w:rPr>
          <w:noProof/>
          <w:lang w:val="en-US"/>
        </w:rPr>
        <w:drawing>
          <wp:inline distT="0" distB="0" distL="114300" distR="114300">
            <wp:extent cx="6470650" cy="3268980"/>
            <wp:effectExtent l="9525" t="9525" r="15875" b="17145"/>
            <wp:docPr id="12" name="Picture 12" descr="Screenshot from 2025-06-01 19-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5-06-01 19-36-06"/>
                    <pic:cNvPicPr>
                      <a:picLocks noChangeAspect="1"/>
                    </pic:cNvPicPr>
                  </pic:nvPicPr>
                  <pic:blipFill>
                    <a:blip r:embed="rId15"/>
                    <a:stretch>
                      <a:fillRect/>
                    </a:stretch>
                  </pic:blipFill>
                  <pic:spPr>
                    <a:xfrm>
                      <a:off x="0" y="0"/>
                      <a:ext cx="6470650" cy="3268980"/>
                    </a:xfrm>
                    <a:prstGeom prst="rect">
                      <a:avLst/>
                    </a:prstGeom>
                    <a:ln>
                      <a:solidFill>
                        <a:schemeClr val="tx1"/>
                      </a:solidFill>
                    </a:ln>
                  </pic:spPr>
                </pic:pic>
              </a:graphicData>
            </a:graphic>
          </wp:inline>
        </w:drawing>
      </w:r>
    </w:p>
    <w:p w:rsidR="0081060D" w:rsidRDefault="00240208" w:rsidP="00240208">
      <w:pPr>
        <w:pStyle w:val="Lgende"/>
        <w:jc w:val="center"/>
        <w:rPr>
          <w:lang w:val="en-US"/>
        </w:rPr>
      </w:pPr>
      <w:bookmarkStart w:id="26" w:name="_Toc199703841"/>
      <w:r>
        <w:t xml:space="preserve">Figure </w:t>
      </w:r>
      <w:fldSimple w:instr=" SEQ Figure \* ARABIC ">
        <w:r>
          <w:rPr>
            <w:noProof/>
          </w:rPr>
          <w:t>4</w:t>
        </w:r>
      </w:fldSimple>
      <w:r>
        <w:t xml:space="preserve">: </w:t>
      </w:r>
      <w:r w:rsidRPr="002C5ABE">
        <w:t>Exemple de législation</w:t>
      </w:r>
      <w:r>
        <w:t xml:space="preserve"> 2</w:t>
      </w:r>
      <w:bookmarkEnd w:id="26"/>
    </w:p>
    <w:p w:rsidR="0081060D" w:rsidRDefault="0081060D">
      <w:pPr>
        <w:rPr>
          <w:lang w:val="en-US"/>
        </w:rPr>
      </w:pPr>
    </w:p>
    <w:p w:rsidR="0081060D" w:rsidRDefault="0081060D">
      <w:pPr>
        <w:rPr>
          <w:lang w:val="en-US"/>
        </w:rPr>
        <w:sectPr w:rsidR="0081060D">
          <w:pgSz w:w="11906" w:h="16838"/>
          <w:pgMar w:top="567" w:right="567" w:bottom="567" w:left="1134" w:header="709" w:footer="454" w:gutter="0"/>
          <w:cols w:space="708"/>
          <w:docGrid w:linePitch="360"/>
        </w:sectPr>
      </w:pPr>
    </w:p>
    <w:p w:rsidR="0081060D" w:rsidRDefault="000E3119">
      <w:pPr>
        <w:pStyle w:val="Titre1"/>
        <w:rPr>
          <w:lang w:val="en-US"/>
        </w:rPr>
      </w:pPr>
      <w:bookmarkStart w:id="27" w:name="_Toc199703871"/>
      <w:proofErr w:type="spellStart"/>
      <w:r>
        <w:rPr>
          <w:lang w:val="en-US"/>
        </w:rPr>
        <w:lastRenderedPageBreak/>
        <w:t>Comparaison</w:t>
      </w:r>
      <w:proofErr w:type="spellEnd"/>
      <w:r>
        <w:rPr>
          <w:lang w:val="en-US"/>
        </w:rPr>
        <w:t xml:space="preserve"> avec la </w:t>
      </w:r>
      <w:proofErr w:type="spellStart"/>
      <w:r>
        <w:rPr>
          <w:lang w:val="en-US"/>
        </w:rPr>
        <w:t>législation</w:t>
      </w:r>
      <w:proofErr w:type="spellEnd"/>
      <w:r>
        <w:rPr>
          <w:lang w:val="en-US"/>
        </w:rPr>
        <w:t xml:space="preserve"> </w:t>
      </w:r>
      <w:proofErr w:type="spellStart"/>
      <w:r>
        <w:rPr>
          <w:lang w:val="en-US"/>
        </w:rPr>
        <w:t>algérienne</w:t>
      </w:r>
      <w:bookmarkEnd w:id="27"/>
      <w:proofErr w:type="spellEnd"/>
    </w:p>
    <w:p w:rsidR="0081060D" w:rsidRDefault="000E3119">
      <w:pPr>
        <w:pStyle w:val="Titre2"/>
        <w:rPr>
          <w:rFonts w:eastAsia="Cambria"/>
          <w:lang w:val="en-US"/>
        </w:rPr>
      </w:pPr>
      <w:bookmarkStart w:id="28" w:name="_Toc199703872"/>
      <w:r>
        <w:rPr>
          <w:rFonts w:eastAsia="Cambria"/>
          <w:lang w:val="en-US"/>
        </w:rPr>
        <w:t xml:space="preserve">Cadre </w:t>
      </w:r>
      <w:proofErr w:type="spellStart"/>
      <w:r>
        <w:rPr>
          <w:rFonts w:eastAsia="Cambria"/>
          <w:lang w:val="en-US"/>
        </w:rPr>
        <w:t>législatif</w:t>
      </w:r>
      <w:proofErr w:type="spellEnd"/>
      <w:r>
        <w:rPr>
          <w:rFonts w:eastAsia="Cambria"/>
          <w:lang w:val="en-US"/>
        </w:rPr>
        <w:t xml:space="preserve"> </w:t>
      </w:r>
      <w:proofErr w:type="spellStart"/>
      <w:r>
        <w:rPr>
          <w:rFonts w:eastAsia="Cambria"/>
          <w:lang w:val="en-US"/>
        </w:rPr>
        <w:t>général</w:t>
      </w:r>
      <w:bookmarkEnd w:id="28"/>
      <w:proofErr w:type="spellEnd"/>
    </w:p>
    <w:p w:rsidR="0081060D" w:rsidRDefault="000E3119">
      <w:pPr>
        <w:ind w:firstLine="360"/>
        <w:rPr>
          <w:b/>
          <w:bCs/>
          <w:i/>
          <w:iCs/>
          <w:lang w:val="en-US"/>
        </w:rPr>
      </w:pPr>
      <w:r>
        <w:rPr>
          <w:b/>
          <w:bCs/>
          <w:i/>
          <w:iCs/>
          <w:lang w:val="en-US"/>
        </w:rPr>
        <w:t xml:space="preserve">Existence </w:t>
      </w:r>
      <w:proofErr w:type="spellStart"/>
      <w:r>
        <w:rPr>
          <w:b/>
          <w:bCs/>
          <w:i/>
          <w:iCs/>
          <w:lang w:val="en-US"/>
        </w:rPr>
        <w:t>d'une</w:t>
      </w:r>
      <w:proofErr w:type="spellEnd"/>
      <w:r>
        <w:rPr>
          <w:b/>
          <w:bCs/>
          <w:i/>
          <w:iCs/>
          <w:lang w:val="en-US"/>
        </w:rPr>
        <w:t xml:space="preserve"> </w:t>
      </w:r>
      <w:proofErr w:type="spellStart"/>
      <w:r>
        <w:rPr>
          <w:b/>
          <w:bCs/>
          <w:i/>
          <w:iCs/>
          <w:lang w:val="en-US"/>
        </w:rPr>
        <w:t>législation</w:t>
      </w:r>
      <w:proofErr w:type="spellEnd"/>
      <w:r>
        <w:rPr>
          <w:b/>
          <w:bCs/>
          <w:i/>
          <w:iCs/>
          <w:lang w:val="en-US"/>
        </w:rPr>
        <w:t xml:space="preserve"> </w:t>
      </w:r>
      <w:proofErr w:type="spellStart"/>
      <w:proofErr w:type="gramStart"/>
      <w:r>
        <w:rPr>
          <w:b/>
          <w:bCs/>
          <w:i/>
          <w:iCs/>
          <w:lang w:val="en-US"/>
        </w:rPr>
        <w:t>spécifique</w:t>
      </w:r>
      <w:proofErr w:type="spellEnd"/>
      <w:r>
        <w:rPr>
          <w:b/>
          <w:bCs/>
          <w:i/>
          <w:iCs/>
          <w:lang w:val="en-US"/>
        </w:rPr>
        <w:t xml:space="preserve"> :</w:t>
      </w:r>
      <w:proofErr w:type="gramEnd"/>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Oui. Plusieurs lois traitent directement de la cryptographie, cybercriminalité, </w:t>
      </w:r>
      <w:r w:rsidRPr="00240208">
        <w:tab/>
      </w:r>
      <w:r w:rsidRPr="00240208">
        <w:tab/>
      </w:r>
      <w:r w:rsidRPr="00240208">
        <w:tab/>
        <w:t>protection des données et services</w:t>
      </w:r>
      <w:r w:rsidRPr="00240208">
        <w:t xml:space="preserve"> électroniques.</w:t>
      </w:r>
      <w:r w:rsidRPr="00240208">
        <w:rPr>
          <w:b/>
          <w:bCs/>
          <w:i/>
          <w:iCs/>
        </w:rPr>
        <w:t xml:space="preserve"> </w:t>
      </w:r>
    </w:p>
    <w:p w:rsidR="0081060D" w:rsidRPr="00240208" w:rsidRDefault="000E3119">
      <w:pPr>
        <w:ind w:firstLine="708"/>
      </w:pPr>
      <w:r w:rsidRPr="00240208">
        <w:rPr>
          <w:u w:val="single"/>
        </w:rPr>
        <w:t xml:space="preserve">- </w:t>
      </w:r>
      <w:proofErr w:type="gramStart"/>
      <w:r w:rsidRPr="00240208">
        <w:rPr>
          <w:u w:val="single"/>
        </w:rPr>
        <w:t>Algérie:</w:t>
      </w:r>
      <w:proofErr w:type="gramEnd"/>
      <w:r w:rsidRPr="00240208">
        <w:t xml:space="preserve"> Oui, mais de manière plus fragmentaire. Les références à la cryptographie apparaissent </w:t>
      </w:r>
      <w:r w:rsidRPr="00240208">
        <w:tab/>
        <w:t>surtout dans les lois sur la sécurité nationale, les télécommunications et la cybercriminalité.</w:t>
      </w:r>
    </w:p>
    <w:p w:rsidR="0081060D" w:rsidRPr="00240208" w:rsidRDefault="000E3119">
      <w:pPr>
        <w:ind w:firstLine="360"/>
        <w:rPr>
          <w:b/>
          <w:bCs/>
          <w:i/>
          <w:iCs/>
        </w:rPr>
      </w:pPr>
      <w:r w:rsidRPr="00240208">
        <w:rPr>
          <w:b/>
          <w:bCs/>
          <w:i/>
          <w:iCs/>
        </w:rPr>
        <w:t>Orientation générale :</w:t>
      </w:r>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Protection des</w:t>
      </w:r>
      <w:r w:rsidRPr="00240208">
        <w:t xml:space="preserve"> infrastructures critiques, souveraineté numérique, contrôle strict sur les </w:t>
      </w:r>
      <w:r w:rsidRPr="00240208">
        <w:tab/>
        <w:t>équipements cryptographiques.</w:t>
      </w:r>
      <w:r w:rsidRPr="00240208">
        <w:rPr>
          <w:b/>
          <w:bCs/>
          <w:i/>
          <w:iCs/>
        </w:rPr>
        <w:t xml:space="preserve"> </w:t>
      </w:r>
    </w:p>
    <w:p w:rsidR="0081060D" w:rsidRPr="00240208" w:rsidRDefault="000E3119">
      <w:pPr>
        <w:ind w:firstLine="708"/>
      </w:pPr>
      <w:r w:rsidRPr="00240208">
        <w:rPr>
          <w:u w:val="single"/>
        </w:rPr>
        <w:t xml:space="preserve">- </w:t>
      </w:r>
      <w:proofErr w:type="gramStart"/>
      <w:r w:rsidRPr="00240208">
        <w:rPr>
          <w:u w:val="single"/>
        </w:rPr>
        <w:t>Algérie:</w:t>
      </w:r>
      <w:proofErr w:type="gramEnd"/>
      <w:r w:rsidRPr="00240208">
        <w:t xml:space="preserve"> Préoccupation sécuritaire forte. Contrôle de l’usage de la cryptographie, notamment </w:t>
      </w:r>
      <w:r w:rsidRPr="00240208">
        <w:tab/>
        <w:t>pour les raisons de sécurité nationale.</w:t>
      </w:r>
    </w:p>
    <w:p w:rsidR="0081060D" w:rsidRDefault="000E3119">
      <w:pPr>
        <w:pStyle w:val="Titre2"/>
        <w:rPr>
          <w:i/>
          <w:iCs/>
          <w:lang w:val="en-US"/>
        </w:rPr>
      </w:pPr>
      <w:bookmarkStart w:id="29" w:name="_Toc199703873"/>
      <w:proofErr w:type="spellStart"/>
      <w:r>
        <w:rPr>
          <w:rFonts w:eastAsia="Cambria"/>
          <w:lang w:val="en-US"/>
        </w:rPr>
        <w:t>Réglementation</w:t>
      </w:r>
      <w:proofErr w:type="spellEnd"/>
      <w:r>
        <w:rPr>
          <w:rFonts w:eastAsia="Cambria"/>
          <w:lang w:val="en-US"/>
        </w:rPr>
        <w:t xml:space="preserve"> de la </w:t>
      </w:r>
      <w:proofErr w:type="spellStart"/>
      <w:r>
        <w:rPr>
          <w:rFonts w:eastAsia="Cambria"/>
          <w:lang w:val="en-US"/>
        </w:rPr>
        <w:t>cryptographie</w:t>
      </w:r>
      <w:bookmarkEnd w:id="29"/>
      <w:proofErr w:type="spellEnd"/>
    </w:p>
    <w:p w:rsidR="0081060D" w:rsidRDefault="000E3119">
      <w:pPr>
        <w:ind w:firstLine="360"/>
        <w:rPr>
          <w:b/>
          <w:bCs/>
          <w:i/>
          <w:iCs/>
          <w:lang w:val="en-US"/>
        </w:rPr>
      </w:pPr>
      <w:r>
        <w:rPr>
          <w:b/>
          <w:bCs/>
          <w:i/>
          <w:iCs/>
          <w:lang w:val="en-US"/>
        </w:rPr>
        <w:t xml:space="preserve">Usage de la </w:t>
      </w:r>
      <w:proofErr w:type="spellStart"/>
      <w:proofErr w:type="gramStart"/>
      <w:r>
        <w:rPr>
          <w:b/>
          <w:bCs/>
          <w:i/>
          <w:iCs/>
          <w:lang w:val="en-US"/>
        </w:rPr>
        <w:t>cryptographie</w:t>
      </w:r>
      <w:proofErr w:type="spellEnd"/>
      <w:r>
        <w:rPr>
          <w:b/>
          <w:bCs/>
          <w:i/>
          <w:iCs/>
          <w:lang w:val="en-US"/>
        </w:rPr>
        <w:t xml:space="preserve"> :</w:t>
      </w:r>
      <w:proofErr w:type="gramEnd"/>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Autorisé sous condition. Réglementé par la loi sur les transactions électroniques (Décret-</w:t>
      </w:r>
      <w:r w:rsidRPr="00240208">
        <w:tab/>
        <w:t>loi n° 46 de 2021) et d'autres textes connexes.</w:t>
      </w:r>
    </w:p>
    <w:p w:rsidR="0081060D" w:rsidRPr="00240208" w:rsidRDefault="000E3119">
      <w:pPr>
        <w:ind w:firstLine="708"/>
      </w:pPr>
      <w:r w:rsidRPr="00240208">
        <w:rPr>
          <w:u w:val="single"/>
        </w:rPr>
        <w:t xml:space="preserve">- </w:t>
      </w:r>
      <w:proofErr w:type="gramStart"/>
      <w:r w:rsidRPr="00240208">
        <w:rPr>
          <w:u w:val="single"/>
        </w:rPr>
        <w:t>Algérie:</w:t>
      </w:r>
      <w:proofErr w:type="gramEnd"/>
      <w:r w:rsidRPr="00240208">
        <w:t xml:space="preserve"> L’utilisation des moyens de cryptogr</w:t>
      </w:r>
      <w:r w:rsidRPr="00240208">
        <w:t xml:space="preserve">aphie est strictement encadrée par l’Ordonnance n° </w:t>
      </w:r>
      <w:r w:rsidRPr="00240208">
        <w:tab/>
        <w:t>21-09 du 8 juin 2021 relative à la sécurité des systèmes d'information.</w:t>
      </w:r>
    </w:p>
    <w:p w:rsidR="0081060D" w:rsidRPr="00240208" w:rsidRDefault="000E3119">
      <w:pPr>
        <w:ind w:firstLine="360"/>
        <w:rPr>
          <w:b/>
          <w:bCs/>
          <w:i/>
          <w:iCs/>
        </w:rPr>
      </w:pPr>
      <w:r w:rsidRPr="00240208">
        <w:rPr>
          <w:b/>
          <w:bCs/>
          <w:i/>
          <w:iCs/>
        </w:rPr>
        <w:t>Autorisation préalable :</w:t>
      </w:r>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Oui. Les prestataires doivent être agréés, et les technologies cryptographiques peuvent </w:t>
      </w:r>
      <w:r w:rsidRPr="00240208">
        <w:tab/>
        <w:t xml:space="preserve">nécessiter </w:t>
      </w:r>
      <w:r w:rsidRPr="00240208">
        <w:t>une validation par des autorités de régulation.</w:t>
      </w:r>
      <w:r w:rsidRPr="00240208">
        <w:rPr>
          <w:b/>
          <w:bCs/>
          <w:i/>
          <w:iCs/>
        </w:rPr>
        <w:t xml:space="preserve"> </w:t>
      </w:r>
    </w:p>
    <w:p w:rsidR="0081060D" w:rsidRPr="00240208" w:rsidRDefault="000E3119">
      <w:pPr>
        <w:ind w:firstLine="708"/>
      </w:pPr>
      <w:r w:rsidRPr="00240208">
        <w:rPr>
          <w:u w:val="single"/>
        </w:rPr>
        <w:t xml:space="preserve">- </w:t>
      </w:r>
      <w:proofErr w:type="gramStart"/>
      <w:r w:rsidRPr="00240208">
        <w:rPr>
          <w:u w:val="single"/>
        </w:rPr>
        <w:t>Algérie:</w:t>
      </w:r>
      <w:proofErr w:type="gramEnd"/>
      <w:r w:rsidRPr="00240208">
        <w:t xml:space="preserve"> Oui. L'importation, l'utilisation et la commercialisation des moyens de cryptographie </w:t>
      </w:r>
      <w:r w:rsidRPr="00240208">
        <w:tab/>
        <w:t xml:space="preserve">doivent être autorisées par l'Autorité de Régulation de la Poste et des Communications </w:t>
      </w:r>
      <w:r w:rsidRPr="00240208">
        <w:tab/>
        <w:t>Électroniques (ARPCE)</w:t>
      </w:r>
      <w:r w:rsidRPr="00240208">
        <w:t>.</w:t>
      </w:r>
    </w:p>
    <w:p w:rsidR="0081060D" w:rsidRPr="00240208" w:rsidRDefault="000E3119">
      <w:r w:rsidRPr="00240208">
        <w:br w:type="page"/>
      </w:r>
    </w:p>
    <w:p w:rsidR="0081060D" w:rsidRDefault="000E3119">
      <w:pPr>
        <w:pStyle w:val="Titre2"/>
        <w:rPr>
          <w:i/>
          <w:iCs/>
          <w:lang w:val="en-US"/>
        </w:rPr>
      </w:pPr>
      <w:bookmarkStart w:id="30" w:name="_Toc199703874"/>
      <w:r>
        <w:rPr>
          <w:rFonts w:eastAsia="Cambria"/>
          <w:lang w:val="en-US" w:eastAsia="zh-CN"/>
        </w:rPr>
        <w:lastRenderedPageBreak/>
        <w:t>Sanctions</w:t>
      </w:r>
      <w:bookmarkEnd w:id="30"/>
    </w:p>
    <w:p w:rsidR="0081060D" w:rsidRPr="00240208" w:rsidRDefault="000E3119">
      <w:pPr>
        <w:ind w:firstLine="360"/>
        <w:rPr>
          <w:b/>
          <w:bCs/>
          <w:i/>
          <w:iCs/>
        </w:rPr>
      </w:pPr>
      <w:r w:rsidRPr="00240208">
        <w:rPr>
          <w:b/>
          <w:bCs/>
          <w:i/>
          <w:iCs/>
        </w:rPr>
        <w:t>Infractions liées à la cryptographie ou aux systèmes sensibles :</w:t>
      </w:r>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Le Décret-loi n° 34 de 2021 prévoit des sanctions sévères (amendes, emprisonnement). </w:t>
      </w:r>
      <w:r w:rsidRPr="00240208">
        <w:tab/>
      </w:r>
      <w:r w:rsidRPr="00240208">
        <w:tab/>
        <w:t>L’utilisation illicite de moyens cryptographiques peut être assimilée à une atteint</w:t>
      </w:r>
      <w:r w:rsidRPr="00240208">
        <w:t xml:space="preserve">e à la sécurité de </w:t>
      </w:r>
      <w:r w:rsidRPr="00240208">
        <w:tab/>
        <w:t>l’État.</w:t>
      </w:r>
    </w:p>
    <w:p w:rsidR="0081060D" w:rsidRPr="00240208" w:rsidRDefault="000E3119">
      <w:pPr>
        <w:ind w:firstLine="708"/>
      </w:pPr>
      <w:r w:rsidRPr="00240208">
        <w:rPr>
          <w:u w:val="single"/>
        </w:rPr>
        <w:t xml:space="preserve">- </w:t>
      </w:r>
      <w:proofErr w:type="gramStart"/>
      <w:r w:rsidRPr="00240208">
        <w:rPr>
          <w:u w:val="single"/>
        </w:rPr>
        <w:t>Algérie:</w:t>
      </w:r>
      <w:proofErr w:type="gramEnd"/>
      <w:r w:rsidRPr="00240208">
        <w:t xml:space="preserve"> Le non-respect des dispositions relatives à la cryptographie peut entraîner des sanctions </w:t>
      </w:r>
      <w:r w:rsidRPr="00240208">
        <w:tab/>
        <w:t xml:space="preserve">pénales (emprisonnement et amendes), notamment dans le cadre de l’ordonnance sur la </w:t>
      </w:r>
      <w:r w:rsidRPr="00240208">
        <w:tab/>
        <w:t>cybercriminalité (n° 09-01) et la loi sur</w:t>
      </w:r>
      <w:r w:rsidRPr="00240208">
        <w:t xml:space="preserve"> la sécurité des systèmes d'information.</w:t>
      </w:r>
    </w:p>
    <w:p w:rsidR="0081060D" w:rsidRPr="00240208" w:rsidRDefault="000E3119">
      <w:pPr>
        <w:ind w:firstLine="360"/>
        <w:rPr>
          <w:b/>
          <w:bCs/>
          <w:i/>
          <w:iCs/>
        </w:rPr>
      </w:pPr>
      <w:r w:rsidRPr="00240208">
        <w:rPr>
          <w:b/>
          <w:bCs/>
          <w:i/>
          <w:iCs/>
        </w:rPr>
        <w:t>Gravité des peines :</w:t>
      </w:r>
    </w:p>
    <w:p w:rsidR="0081060D" w:rsidRPr="00240208" w:rsidRDefault="000E3119">
      <w:pPr>
        <w:ind w:firstLine="708"/>
        <w:rPr>
          <w:b/>
          <w:bCs/>
          <w:i/>
          <w:iCs/>
        </w:rPr>
      </w:pPr>
      <w:r w:rsidRPr="00240208">
        <w:rPr>
          <w:u w:val="single"/>
        </w:rPr>
        <w:t xml:space="preserve">- </w:t>
      </w:r>
      <w:proofErr w:type="gramStart"/>
      <w:r w:rsidRPr="00240208">
        <w:rPr>
          <w:u w:val="single"/>
        </w:rPr>
        <w:t>EAU:</w:t>
      </w:r>
      <w:proofErr w:type="gramEnd"/>
      <w:r w:rsidRPr="00240208">
        <w:t xml:space="preserve"> Très sévères, notamment en cas d’intention de nuire ou d’atteinte à la sûreté nationale </w:t>
      </w:r>
      <w:r w:rsidRPr="00240208">
        <w:tab/>
        <w:t>(jusqu'à la prison à vie).</w:t>
      </w:r>
      <w:r w:rsidRPr="00240208">
        <w:rPr>
          <w:b/>
          <w:bCs/>
          <w:i/>
          <w:iCs/>
        </w:rPr>
        <w:t xml:space="preserve"> </w:t>
      </w:r>
    </w:p>
    <w:p w:rsidR="0081060D" w:rsidRPr="00240208" w:rsidRDefault="000E3119">
      <w:pPr>
        <w:ind w:firstLine="708"/>
        <w:rPr>
          <w:b/>
          <w:bCs/>
          <w:i/>
          <w:iCs/>
        </w:rPr>
      </w:pPr>
      <w:r w:rsidRPr="00240208">
        <w:rPr>
          <w:u w:val="single"/>
        </w:rPr>
        <w:t xml:space="preserve">- </w:t>
      </w:r>
      <w:proofErr w:type="gramStart"/>
      <w:r w:rsidRPr="00240208">
        <w:rPr>
          <w:u w:val="single"/>
        </w:rPr>
        <w:t>Algérie:</w:t>
      </w:r>
      <w:proofErr w:type="gramEnd"/>
      <w:r w:rsidRPr="00240208">
        <w:t xml:space="preserve"> Peines allant jusqu’à 10 ans de prison en cas d’usage non a</w:t>
      </w:r>
      <w:r w:rsidRPr="00240208">
        <w:t xml:space="preserve">utorisé à des fins criminelles </w:t>
      </w:r>
      <w:r w:rsidRPr="00240208">
        <w:tab/>
        <w:t>ou d’atteinte à la défense nationale.</w:t>
      </w:r>
    </w:p>
    <w:p w:rsidR="0081060D" w:rsidRPr="00240208" w:rsidRDefault="0081060D">
      <w:pPr>
        <w:ind w:left="2124" w:firstLine="708"/>
        <w:rPr>
          <w:b/>
          <w:bCs/>
          <w:i/>
          <w:iCs/>
        </w:rPr>
        <w:sectPr w:rsidR="0081060D" w:rsidRPr="00240208">
          <w:pgSz w:w="11906" w:h="16838"/>
          <w:pgMar w:top="567" w:right="567" w:bottom="567" w:left="1134" w:header="709" w:footer="454" w:gutter="0"/>
          <w:cols w:space="708"/>
          <w:docGrid w:linePitch="360"/>
        </w:sectPr>
      </w:pPr>
    </w:p>
    <w:p w:rsidR="0081060D" w:rsidRDefault="000E3119">
      <w:pPr>
        <w:pStyle w:val="Titre1"/>
      </w:pPr>
      <w:bookmarkStart w:id="31" w:name="_Toc199703875"/>
      <w:r>
        <w:lastRenderedPageBreak/>
        <w:t>Conclusion</w:t>
      </w:r>
      <w:bookmarkEnd w:id="31"/>
    </w:p>
    <w:p w:rsidR="0081060D" w:rsidRDefault="000E3119">
      <w:pPr>
        <w:ind w:firstLineChars="150" w:firstLine="360"/>
        <w:rPr>
          <w:rFonts w:asciiTheme="majorBidi" w:hAnsiTheme="majorBidi" w:cstheme="majorBidi"/>
          <w:color w:val="0D0D0D"/>
          <w:shd w:val="clear" w:color="auto" w:fill="FFFFFF"/>
        </w:rPr>
      </w:pPr>
      <w:r w:rsidRPr="00240208">
        <w:t xml:space="preserve">La plateforme </w:t>
      </w:r>
      <w:hyperlink r:id="rId16" w:history="1">
        <w:r w:rsidRPr="00240208">
          <w:rPr>
            <w:rStyle w:val="Lienhypertexte"/>
          </w:rPr>
          <w:t>https://uaelegislation.gov.ae/</w:t>
        </w:r>
      </w:hyperlink>
      <w:r w:rsidRPr="00240208">
        <w:t xml:space="preserve"> est une ressource essentielle pour quiconque souhaite compren</w:t>
      </w:r>
      <w:r w:rsidRPr="00240208">
        <w:t>dre ou se conformer au cadre juridique des Émirats arabes unis. En regroupant toutes les législations fédérales depuis 1971, avec des outils de navigation avancés et des fonctionnalités participatives, elle incarne l’engagement des EAU envers la transparen</w:t>
      </w:r>
      <w:r w:rsidRPr="00240208">
        <w:t>ce, l’accessibilité et l’innovation législative. Son succès initial, avec plus d’un million de visites en cinq mois, souligne son importance pour les citoyens, les entreprises et les visiteurs internationaux.</w:t>
      </w:r>
      <w:r>
        <w:rPr>
          <w:rFonts w:asciiTheme="majorBidi" w:hAnsiTheme="majorBidi" w:cstheme="majorBidi"/>
          <w:color w:val="0D0D0D"/>
          <w:shd w:val="clear" w:color="auto" w:fill="FFFFFF"/>
        </w:rPr>
        <w:br w:type="page"/>
      </w:r>
    </w:p>
    <w:p w:rsidR="0081060D" w:rsidRDefault="000E3119">
      <w:pPr>
        <w:pStyle w:val="Titre1"/>
      </w:pPr>
      <w:bookmarkStart w:id="32" w:name="_Toc199703876"/>
      <w:r>
        <w:lastRenderedPageBreak/>
        <w:t>Références</w:t>
      </w:r>
      <w:bookmarkEnd w:id="32"/>
    </w:p>
    <w:p w:rsidR="0081060D" w:rsidRDefault="000E3119">
      <w:pPr>
        <w:spacing w:after="200" w:line="276" w:lineRule="auto"/>
      </w:pPr>
      <w:r>
        <w:t>[1]</w:t>
      </w:r>
      <w:r>
        <w:tab/>
      </w:r>
      <w:hyperlink r:id="rId17" w:history="1">
        <w:r>
          <w:rPr>
            <w:rStyle w:val="Lienhypertextesuivivisit"/>
          </w:rPr>
          <w:t>https://uaelegislation.gov.ae/</w:t>
        </w:r>
      </w:hyperlink>
    </w:p>
    <w:p w:rsidR="0081060D" w:rsidRDefault="000E3119">
      <w:pPr>
        <w:spacing w:after="200" w:line="276" w:lineRule="auto"/>
      </w:pPr>
      <w:r>
        <w:t>[2]</w:t>
      </w:r>
      <w:r>
        <w:tab/>
      </w:r>
      <w:hyperlink r:id="rId18" w:history="1">
        <w:r>
          <w:rPr>
            <w:rStyle w:val="Lienhypertextesuivivisit"/>
          </w:rPr>
          <w:t>https://www.trade.gov/market-intelligence/united-arab</w:t>
        </w:r>
        <w:r>
          <w:rPr>
            <w:rStyle w:val="Lienhypertextesuivivisit"/>
          </w:rPr>
          <w:t>-emirates-allows-cross-border-data-flows-personal-data</w:t>
        </w:r>
      </w:hyperlink>
    </w:p>
    <w:p w:rsidR="0081060D" w:rsidRDefault="000E3119">
      <w:pPr>
        <w:spacing w:after="200" w:line="276" w:lineRule="auto"/>
        <w:rPr>
          <w:rStyle w:val="Lienhypertexte"/>
        </w:rPr>
      </w:pPr>
      <w:r>
        <w:t>[3]</w:t>
      </w:r>
      <w:r>
        <w:tab/>
      </w:r>
      <w:hyperlink r:id="rId19" w:history="1">
        <w:r>
          <w:rPr>
            <w:rStyle w:val="Lienhypertexte"/>
          </w:rPr>
          <w:t>https://cms-lawnow.com/en/ealerts/2022/01/uae-legal-reforms-new-uae-data-protection-law</w:t>
        </w:r>
      </w:hyperlink>
    </w:p>
    <w:p w:rsidR="0081060D" w:rsidRPr="00240208" w:rsidRDefault="000E3119">
      <w:pPr>
        <w:spacing w:after="200" w:line="276" w:lineRule="auto"/>
      </w:pPr>
      <w:r>
        <w:t>[</w:t>
      </w:r>
      <w:r w:rsidRPr="00240208">
        <w:t>4</w:t>
      </w:r>
      <w:r>
        <w:t>]</w:t>
      </w:r>
      <w:r w:rsidRPr="00240208">
        <w:tab/>
      </w:r>
      <w:hyperlink r:id="rId20" w:history="1">
        <w:r w:rsidRPr="00240208">
          <w:rPr>
            <w:rStyle w:val="Lienhypertexte"/>
          </w:rPr>
          <w:t>https://advokeintl.com/pdpl/</w:t>
        </w:r>
      </w:hyperlink>
    </w:p>
    <w:p w:rsidR="0081060D" w:rsidRPr="00240208" w:rsidRDefault="000E3119">
      <w:pPr>
        <w:spacing w:after="200" w:line="276" w:lineRule="auto"/>
      </w:pPr>
      <w:r w:rsidRPr="00240208">
        <w:t>[5]</w:t>
      </w:r>
      <w:r w:rsidRPr="00240208">
        <w:tab/>
      </w:r>
      <w:hyperlink r:id="rId21" w:history="1">
        <w:r w:rsidRPr="00240208">
          <w:rPr>
            <w:rStyle w:val="Lienhypertexte"/>
          </w:rPr>
          <w:t>https://www.cliffordchance.</w:t>
        </w:r>
        <w:r w:rsidRPr="00240208">
          <w:rPr>
            <w:rStyle w:val="Lienhypertexte"/>
          </w:rPr>
          <w:t>com/insights/resources/blogs/talking-tech/en/articles/2021/12/the-uae-data-protection-law-key-takeaways.html</w:t>
        </w:r>
      </w:hyperlink>
    </w:p>
    <w:p w:rsidR="0081060D" w:rsidRPr="00240208" w:rsidRDefault="000E3119">
      <w:pPr>
        <w:spacing w:after="200" w:line="276" w:lineRule="auto"/>
      </w:pPr>
      <w:r w:rsidRPr="00240208">
        <w:t>[6]</w:t>
      </w:r>
      <w:r w:rsidRPr="00240208">
        <w:tab/>
      </w:r>
      <w:hyperlink r:id="rId22" w:history="1">
        <w:r w:rsidRPr="00240208">
          <w:rPr>
            <w:rStyle w:val="Lienhypertexte"/>
          </w:rPr>
          <w:t>https://uaelegislation.gov.ae/en/legislations/1526</w:t>
        </w:r>
      </w:hyperlink>
    </w:p>
    <w:p w:rsidR="0081060D" w:rsidRPr="00240208" w:rsidRDefault="000E3119">
      <w:pPr>
        <w:spacing w:after="200" w:line="276" w:lineRule="auto"/>
      </w:pPr>
      <w:r w:rsidRPr="00240208">
        <w:t>[7]</w:t>
      </w:r>
      <w:r w:rsidRPr="00240208">
        <w:tab/>
      </w:r>
      <w:hyperlink r:id="rId23" w:history="1">
        <w:r w:rsidRPr="00240208">
          <w:rPr>
            <w:rStyle w:val="Lienhypertexte"/>
          </w:rPr>
          <w:t>https://uaelegislation.gov.ae/en/legislations/1529</w:t>
        </w:r>
      </w:hyperlink>
    </w:p>
    <w:p w:rsidR="0081060D" w:rsidRPr="00240208" w:rsidRDefault="000E3119">
      <w:pPr>
        <w:spacing w:after="200" w:line="276" w:lineRule="auto"/>
      </w:pPr>
      <w:r w:rsidRPr="00240208">
        <w:t>[8]</w:t>
      </w:r>
      <w:r w:rsidRPr="00240208">
        <w:tab/>
      </w:r>
      <w:hyperlink r:id="rId24" w:history="1">
        <w:r w:rsidRPr="00240208">
          <w:rPr>
            <w:rStyle w:val="Lienhypertexte"/>
          </w:rPr>
          <w:t>https://uaelegislation.gov.ae/en/legislations/1539</w:t>
        </w:r>
      </w:hyperlink>
    </w:p>
    <w:p w:rsidR="0081060D" w:rsidRPr="00240208" w:rsidRDefault="000E3119">
      <w:pPr>
        <w:spacing w:after="200" w:line="276" w:lineRule="auto"/>
      </w:pPr>
      <w:r w:rsidRPr="00240208">
        <w:t>[9]</w:t>
      </w:r>
      <w:r w:rsidRPr="00240208">
        <w:tab/>
      </w:r>
      <w:hyperlink r:id="rId25" w:history="1">
        <w:r w:rsidRPr="00240208">
          <w:rPr>
            <w:rStyle w:val="Lienhypertexte"/>
          </w:rPr>
          <w:t>https://www.uaelegislation.gov.ae/en/legislations/1609</w:t>
        </w:r>
      </w:hyperlink>
    </w:p>
    <w:p w:rsidR="0081060D" w:rsidRPr="00240208" w:rsidRDefault="000E3119">
      <w:pPr>
        <w:spacing w:after="200" w:line="276" w:lineRule="auto"/>
      </w:pPr>
      <w:r w:rsidRPr="00240208">
        <w:t>[10]</w:t>
      </w:r>
      <w:r w:rsidRPr="00240208">
        <w:tab/>
      </w:r>
      <w:hyperlink r:id="rId26" w:history="1">
        <w:r w:rsidRPr="00240208">
          <w:rPr>
            <w:rStyle w:val="Lienhypertexte"/>
          </w:rPr>
          <w:t>https://uaelegislation.gov.ae/en/legislations/1972</w:t>
        </w:r>
      </w:hyperlink>
    </w:p>
    <w:p w:rsidR="0081060D" w:rsidRPr="00240208" w:rsidRDefault="0081060D">
      <w:pPr>
        <w:spacing w:after="200" w:line="276" w:lineRule="auto"/>
      </w:pPr>
    </w:p>
    <w:sectPr w:rsidR="0081060D" w:rsidRPr="00240208">
      <w:pgSz w:w="11906" w:h="16838"/>
      <w:pgMar w:top="567" w:right="567" w:bottom="567" w:left="1134"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3119" w:rsidRDefault="000E3119">
      <w:pPr>
        <w:spacing w:line="240" w:lineRule="auto"/>
      </w:pPr>
      <w:r>
        <w:separator/>
      </w:r>
    </w:p>
  </w:endnote>
  <w:endnote w:type="continuationSeparator" w:id="0">
    <w:p w:rsidR="000E3119" w:rsidRDefault="000E3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Georgia"/>
    <w:panose1 w:val="02040503050406030204"/>
    <w:charset w:val="00"/>
    <w:family w:val="roman"/>
    <w:pitch w:val="variable"/>
    <w:sig w:usb0="E00006FF" w:usb1="420024FF" w:usb2="02000000" w:usb3="00000000" w:csb0="0000019F" w:csb1="00000000"/>
  </w:font>
  <w:font w:name="Tahoma">
    <w:altName w:val="DejaVu Sans"/>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altName w:val="Arial"/>
    <w:panose1 w:val="02020603050405020304"/>
    <w:charset w:val="00"/>
    <w:family w:val="roman"/>
    <w:pitch w:val="variable"/>
    <w:sig w:usb0="00002003" w:usb1="80000000" w:usb2="00000008" w:usb3="00000000" w:csb0="00000041" w:csb1="00000000"/>
  </w:font>
  <w:font w:name="Calibri Light;Calibri">
    <w:altName w:val="Cambria"/>
    <w:charset w:val="00"/>
    <w:family w:val="roman"/>
    <w:pitch w:val="default"/>
  </w:font>
  <w:font w:name="Sakkal Majalla">
    <w:altName w:val="Dhurjati"/>
    <w:panose1 w:val="02000000000000000000"/>
    <w:charset w:val="00"/>
    <w:family w:val="auto"/>
    <w:pitch w:val="variable"/>
    <w:sig w:usb0="A0002027" w:usb1="80000000" w:usb2="00000108" w:usb3="00000000" w:csb0="000000D3" w:csb1="00000000"/>
  </w:font>
  <w:font w:name="Simplified Arabic">
    <w:altName w:val="Arial"/>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5862725"/>
      <w:docPartObj>
        <w:docPartGallery w:val="AutoText"/>
      </w:docPartObj>
    </w:sdtPr>
    <w:sdtEndPr/>
    <w:sdtContent>
      <w:p w:rsidR="0081060D" w:rsidRDefault="000E3119">
        <w:pPr>
          <w:pStyle w:val="Pieddepage"/>
          <w:jc w:val="center"/>
        </w:pPr>
        <w:r>
          <w:fldChar w:fldCharType="begin"/>
        </w:r>
        <w:r>
          <w:instrText>PAGE   \* MERGEFORMAT</w:instrText>
        </w:r>
        <w:r>
          <w:fldChar w:fldCharType="separate"/>
        </w:r>
        <w:r>
          <w:t>2</w:t>
        </w:r>
        <w:r>
          <w:fldChar w:fldCharType="end"/>
        </w:r>
      </w:p>
    </w:sdtContent>
  </w:sdt>
  <w:p w:rsidR="0081060D" w:rsidRDefault="008106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0606268"/>
      <w:docPartObj>
        <w:docPartGallery w:val="AutoText"/>
      </w:docPartObj>
    </w:sdtPr>
    <w:sdtEndPr/>
    <w:sdtContent>
      <w:p w:rsidR="0081060D" w:rsidRDefault="000E3119">
        <w:pPr>
          <w:pStyle w:val="Pieddepage"/>
          <w:jc w:val="center"/>
        </w:pPr>
        <w:r>
          <w:fldChar w:fldCharType="begin"/>
        </w:r>
        <w:r>
          <w:instrText>PA</w:instrText>
        </w:r>
        <w:r>
          <w:instrText>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3119" w:rsidRDefault="000E3119">
      <w:pPr>
        <w:spacing w:after="0"/>
      </w:pPr>
      <w:r>
        <w:separator/>
      </w:r>
    </w:p>
  </w:footnote>
  <w:footnote w:type="continuationSeparator" w:id="0">
    <w:p w:rsidR="000E3119" w:rsidRDefault="000E31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9AE3E4B"/>
    <w:multiLevelType w:val="singleLevel"/>
    <w:tmpl w:val="F9AE3E4B"/>
    <w:lvl w:ilvl="0">
      <w:start w:val="1"/>
      <w:numFmt w:val="lowerLetter"/>
      <w:lvlText w:val="%1."/>
      <w:lvlJc w:val="left"/>
      <w:pPr>
        <w:tabs>
          <w:tab w:val="left" w:pos="1265"/>
        </w:tabs>
        <w:ind w:left="1265" w:hanging="425"/>
      </w:pPr>
      <w:rPr>
        <w:rFonts w:hint="default"/>
      </w:rPr>
    </w:lvl>
  </w:abstractNum>
  <w:abstractNum w:abstractNumId="1" w15:restartNumberingAfterBreak="0">
    <w:nsid w:val="42F91C74"/>
    <w:multiLevelType w:val="multilevel"/>
    <w:tmpl w:val="42F91C74"/>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rPr>
        <w:b/>
        <w:sz w:val="40"/>
      </w:r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rPr>
        <w:b/>
        <w:sz w:val="32"/>
      </w:r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6B4B728F"/>
    <w:multiLevelType w:val="multilevel"/>
    <w:tmpl w:val="6B4B728F"/>
    <w:lvl w:ilvl="0">
      <w:start w:val="1"/>
      <w:numFmt w:val="none"/>
      <w:pStyle w:val="Titre1"/>
      <w:lvlText w:val=""/>
      <w:lvlJc w:val="left"/>
      <w:pPr>
        <w:ind w:left="360" w:hanging="360"/>
      </w:pPr>
      <w:rPr>
        <w:rFonts w:hint="default"/>
      </w:rPr>
    </w:lvl>
    <w:lvl w:ilvl="1">
      <w:start w:val="1"/>
      <w:numFmt w:val="decimal"/>
      <w:pStyle w:val="Titre2"/>
      <w:lvlText w:val="%2."/>
      <w:lvlJc w:val="left"/>
      <w:pPr>
        <w:ind w:left="792" w:hanging="432"/>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Titre3"/>
      <w:lvlText w:val="%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261164E"/>
    <w:multiLevelType w:val="singleLevel"/>
    <w:tmpl w:val="7261164E"/>
    <w:lvl w:ilvl="0">
      <w:start w:val="1"/>
      <w:numFmt w:val="lowerLetter"/>
      <w:lvlText w:val="%1."/>
      <w:lvlJc w:val="left"/>
      <w:pPr>
        <w:tabs>
          <w:tab w:val="left" w:pos="1265"/>
        </w:tabs>
        <w:ind w:left="1265" w:hanging="425"/>
      </w:pPr>
      <w:rPr>
        <w:rFonts w:hint="default"/>
      </w:rPr>
    </w:lvl>
  </w:abstractNum>
  <w:abstractNum w:abstractNumId="4" w15:restartNumberingAfterBreak="0">
    <w:nsid w:val="7B6950E4"/>
    <w:multiLevelType w:val="multilevel"/>
    <w:tmpl w:val="7B6950E4"/>
    <w:lvl w:ilvl="0">
      <w:start w:val="1"/>
      <w:numFmt w:val="none"/>
      <w:pStyle w:val="Titre"/>
      <w:lvlText w:val=""/>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FDBA22C"/>
    <w:multiLevelType w:val="singleLevel"/>
    <w:tmpl w:val="7FDBA22C"/>
    <w:lvl w:ilvl="0">
      <w:start w:val="2"/>
      <w:numFmt w:val="lowerLetter"/>
      <w:lvlText w:val="%1."/>
      <w:lvlJc w:val="left"/>
      <w:pPr>
        <w:tabs>
          <w:tab w:val="left" w:pos="1272"/>
        </w:tabs>
        <w:ind w:left="1272" w:hanging="432"/>
      </w:pPr>
      <w:rPr>
        <w:rFonts w:hint="default"/>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A58"/>
    <w:rsid w:val="A9FE7378"/>
    <w:rsid w:val="BD3E5F97"/>
    <w:rsid w:val="D2FE4EC6"/>
    <w:rsid w:val="D5FEFD0C"/>
    <w:rsid w:val="DCEB41B5"/>
    <w:rsid w:val="EFF94B60"/>
    <w:rsid w:val="FABED547"/>
    <w:rsid w:val="FDBACD64"/>
    <w:rsid w:val="FDD754D7"/>
    <w:rsid w:val="FEA102F3"/>
    <w:rsid w:val="FEDECB76"/>
    <w:rsid w:val="FFAFEC60"/>
    <w:rsid w:val="FFFF15AB"/>
    <w:rsid w:val="00001773"/>
    <w:rsid w:val="000050C0"/>
    <w:rsid w:val="0000576D"/>
    <w:rsid w:val="000064B3"/>
    <w:rsid w:val="00006875"/>
    <w:rsid w:val="00007479"/>
    <w:rsid w:val="0001068F"/>
    <w:rsid w:val="00012098"/>
    <w:rsid w:val="00013241"/>
    <w:rsid w:val="000142EF"/>
    <w:rsid w:val="00016F6F"/>
    <w:rsid w:val="00021C8F"/>
    <w:rsid w:val="00022096"/>
    <w:rsid w:val="00024D89"/>
    <w:rsid w:val="000267C1"/>
    <w:rsid w:val="000308AF"/>
    <w:rsid w:val="000308B1"/>
    <w:rsid w:val="000323A7"/>
    <w:rsid w:val="00033712"/>
    <w:rsid w:val="000341EA"/>
    <w:rsid w:val="00037551"/>
    <w:rsid w:val="0003778C"/>
    <w:rsid w:val="0003785C"/>
    <w:rsid w:val="0004507C"/>
    <w:rsid w:val="00045D8C"/>
    <w:rsid w:val="000460C0"/>
    <w:rsid w:val="000470B3"/>
    <w:rsid w:val="00047885"/>
    <w:rsid w:val="000478D9"/>
    <w:rsid w:val="00051B1E"/>
    <w:rsid w:val="00053839"/>
    <w:rsid w:val="00054A47"/>
    <w:rsid w:val="00060981"/>
    <w:rsid w:val="000621F2"/>
    <w:rsid w:val="0006418D"/>
    <w:rsid w:val="000660F6"/>
    <w:rsid w:val="00070ABC"/>
    <w:rsid w:val="000835B6"/>
    <w:rsid w:val="0009016F"/>
    <w:rsid w:val="000937B9"/>
    <w:rsid w:val="00095D3D"/>
    <w:rsid w:val="000A056D"/>
    <w:rsid w:val="000A1313"/>
    <w:rsid w:val="000A19A4"/>
    <w:rsid w:val="000A2FBF"/>
    <w:rsid w:val="000A4C33"/>
    <w:rsid w:val="000B6A55"/>
    <w:rsid w:val="000C1429"/>
    <w:rsid w:val="000C167D"/>
    <w:rsid w:val="000C4B6F"/>
    <w:rsid w:val="000C4FC1"/>
    <w:rsid w:val="000C53DB"/>
    <w:rsid w:val="000C56B1"/>
    <w:rsid w:val="000C56B7"/>
    <w:rsid w:val="000D033A"/>
    <w:rsid w:val="000D2827"/>
    <w:rsid w:val="000D29DA"/>
    <w:rsid w:val="000D3146"/>
    <w:rsid w:val="000E3119"/>
    <w:rsid w:val="000E3A71"/>
    <w:rsid w:val="000E78E3"/>
    <w:rsid w:val="000F03B2"/>
    <w:rsid w:val="000F31FB"/>
    <w:rsid w:val="000F6F29"/>
    <w:rsid w:val="000F70C3"/>
    <w:rsid w:val="00100F44"/>
    <w:rsid w:val="00100F72"/>
    <w:rsid w:val="00102DBB"/>
    <w:rsid w:val="00110D95"/>
    <w:rsid w:val="001111F2"/>
    <w:rsid w:val="00111749"/>
    <w:rsid w:val="0011224E"/>
    <w:rsid w:val="001158C7"/>
    <w:rsid w:val="001204BF"/>
    <w:rsid w:val="00122B52"/>
    <w:rsid w:val="001230B0"/>
    <w:rsid w:val="001304B8"/>
    <w:rsid w:val="0013099C"/>
    <w:rsid w:val="0013463C"/>
    <w:rsid w:val="001360F0"/>
    <w:rsid w:val="00136185"/>
    <w:rsid w:val="00136394"/>
    <w:rsid w:val="00136FA6"/>
    <w:rsid w:val="001403B4"/>
    <w:rsid w:val="001403BA"/>
    <w:rsid w:val="001415AC"/>
    <w:rsid w:val="00142BC9"/>
    <w:rsid w:val="00144291"/>
    <w:rsid w:val="00145D38"/>
    <w:rsid w:val="0014711E"/>
    <w:rsid w:val="001477D7"/>
    <w:rsid w:val="00153E0E"/>
    <w:rsid w:val="001540DB"/>
    <w:rsid w:val="00155A22"/>
    <w:rsid w:val="00155B6D"/>
    <w:rsid w:val="00157F71"/>
    <w:rsid w:val="001634EE"/>
    <w:rsid w:val="001636D4"/>
    <w:rsid w:val="0016372D"/>
    <w:rsid w:val="00166132"/>
    <w:rsid w:val="00167707"/>
    <w:rsid w:val="00170057"/>
    <w:rsid w:val="00170BC4"/>
    <w:rsid w:val="00170F42"/>
    <w:rsid w:val="00171749"/>
    <w:rsid w:val="00172EB9"/>
    <w:rsid w:val="00173452"/>
    <w:rsid w:val="00180813"/>
    <w:rsid w:val="00181B33"/>
    <w:rsid w:val="001849DA"/>
    <w:rsid w:val="00186013"/>
    <w:rsid w:val="00186392"/>
    <w:rsid w:val="0018796D"/>
    <w:rsid w:val="00195BF5"/>
    <w:rsid w:val="001A2BEA"/>
    <w:rsid w:val="001A4158"/>
    <w:rsid w:val="001A42C9"/>
    <w:rsid w:val="001A52E1"/>
    <w:rsid w:val="001B0602"/>
    <w:rsid w:val="001B20B2"/>
    <w:rsid w:val="001B5B43"/>
    <w:rsid w:val="001B68BD"/>
    <w:rsid w:val="001C27E5"/>
    <w:rsid w:val="001C7DC4"/>
    <w:rsid w:val="001D04A1"/>
    <w:rsid w:val="001D5109"/>
    <w:rsid w:val="001E504C"/>
    <w:rsid w:val="001E6867"/>
    <w:rsid w:val="001F0FD4"/>
    <w:rsid w:val="001F67EA"/>
    <w:rsid w:val="0020055E"/>
    <w:rsid w:val="002025C3"/>
    <w:rsid w:val="002025F1"/>
    <w:rsid w:val="00203868"/>
    <w:rsid w:val="00204DDB"/>
    <w:rsid w:val="002075FC"/>
    <w:rsid w:val="002105BE"/>
    <w:rsid w:val="00212FC3"/>
    <w:rsid w:val="0021414A"/>
    <w:rsid w:val="00214D7A"/>
    <w:rsid w:val="00222D47"/>
    <w:rsid w:val="00225B96"/>
    <w:rsid w:val="00230EFA"/>
    <w:rsid w:val="00232B0F"/>
    <w:rsid w:val="002337BB"/>
    <w:rsid w:val="00233D9A"/>
    <w:rsid w:val="00235CC3"/>
    <w:rsid w:val="0023707D"/>
    <w:rsid w:val="002375CB"/>
    <w:rsid w:val="00240208"/>
    <w:rsid w:val="00245F0E"/>
    <w:rsid w:val="00252BCB"/>
    <w:rsid w:val="00253E0D"/>
    <w:rsid w:val="0025417A"/>
    <w:rsid w:val="00264D87"/>
    <w:rsid w:val="002659BA"/>
    <w:rsid w:val="002661B3"/>
    <w:rsid w:val="002719A3"/>
    <w:rsid w:val="00271F5A"/>
    <w:rsid w:val="002728B8"/>
    <w:rsid w:val="00272B24"/>
    <w:rsid w:val="0027344B"/>
    <w:rsid w:val="002738C3"/>
    <w:rsid w:val="00275405"/>
    <w:rsid w:val="002826DD"/>
    <w:rsid w:val="00283E76"/>
    <w:rsid w:val="00284B15"/>
    <w:rsid w:val="0028642E"/>
    <w:rsid w:val="00287924"/>
    <w:rsid w:val="002907CF"/>
    <w:rsid w:val="00291DD4"/>
    <w:rsid w:val="002920E9"/>
    <w:rsid w:val="00296C0F"/>
    <w:rsid w:val="002A1CC5"/>
    <w:rsid w:val="002A2117"/>
    <w:rsid w:val="002A29B0"/>
    <w:rsid w:val="002A50A1"/>
    <w:rsid w:val="002B07D7"/>
    <w:rsid w:val="002B12DC"/>
    <w:rsid w:val="002B2EF9"/>
    <w:rsid w:val="002B3353"/>
    <w:rsid w:val="002C0298"/>
    <w:rsid w:val="002C0F3B"/>
    <w:rsid w:val="002C1035"/>
    <w:rsid w:val="002C1145"/>
    <w:rsid w:val="002C43E2"/>
    <w:rsid w:val="002C44AE"/>
    <w:rsid w:val="002C4523"/>
    <w:rsid w:val="002C5B88"/>
    <w:rsid w:val="002C656C"/>
    <w:rsid w:val="002D030A"/>
    <w:rsid w:val="002D0BE5"/>
    <w:rsid w:val="002D1368"/>
    <w:rsid w:val="002D4751"/>
    <w:rsid w:val="002D5378"/>
    <w:rsid w:val="002E01F4"/>
    <w:rsid w:val="002E14BD"/>
    <w:rsid w:val="002E232D"/>
    <w:rsid w:val="002F093F"/>
    <w:rsid w:val="002F343B"/>
    <w:rsid w:val="002F4BF5"/>
    <w:rsid w:val="003045CD"/>
    <w:rsid w:val="0030656D"/>
    <w:rsid w:val="00306935"/>
    <w:rsid w:val="0031248C"/>
    <w:rsid w:val="00313F05"/>
    <w:rsid w:val="003165ED"/>
    <w:rsid w:val="0031664E"/>
    <w:rsid w:val="003203CD"/>
    <w:rsid w:val="00321113"/>
    <w:rsid w:val="00321C93"/>
    <w:rsid w:val="003277EB"/>
    <w:rsid w:val="0033070E"/>
    <w:rsid w:val="00330CF1"/>
    <w:rsid w:val="003322C7"/>
    <w:rsid w:val="00334BD8"/>
    <w:rsid w:val="00336618"/>
    <w:rsid w:val="00340059"/>
    <w:rsid w:val="0034154B"/>
    <w:rsid w:val="00341D2D"/>
    <w:rsid w:val="00343EC7"/>
    <w:rsid w:val="00353E59"/>
    <w:rsid w:val="003553B0"/>
    <w:rsid w:val="0036305A"/>
    <w:rsid w:val="003634D0"/>
    <w:rsid w:val="00366E64"/>
    <w:rsid w:val="0036724C"/>
    <w:rsid w:val="00370570"/>
    <w:rsid w:val="0037077F"/>
    <w:rsid w:val="00371235"/>
    <w:rsid w:val="00371271"/>
    <w:rsid w:val="00372860"/>
    <w:rsid w:val="0037777E"/>
    <w:rsid w:val="00380266"/>
    <w:rsid w:val="00381DA5"/>
    <w:rsid w:val="00381EE1"/>
    <w:rsid w:val="0038326E"/>
    <w:rsid w:val="00384F3A"/>
    <w:rsid w:val="00387306"/>
    <w:rsid w:val="00391ADE"/>
    <w:rsid w:val="00395677"/>
    <w:rsid w:val="00395DB6"/>
    <w:rsid w:val="003A0101"/>
    <w:rsid w:val="003A0AC5"/>
    <w:rsid w:val="003A2688"/>
    <w:rsid w:val="003A5052"/>
    <w:rsid w:val="003B164A"/>
    <w:rsid w:val="003B75D5"/>
    <w:rsid w:val="003C0056"/>
    <w:rsid w:val="003C1A5F"/>
    <w:rsid w:val="003C4E09"/>
    <w:rsid w:val="003C4F66"/>
    <w:rsid w:val="003C5463"/>
    <w:rsid w:val="003C75E5"/>
    <w:rsid w:val="003D2222"/>
    <w:rsid w:val="003D593F"/>
    <w:rsid w:val="003D688F"/>
    <w:rsid w:val="003D789C"/>
    <w:rsid w:val="003E2CB5"/>
    <w:rsid w:val="003E475B"/>
    <w:rsid w:val="003E5291"/>
    <w:rsid w:val="003F1045"/>
    <w:rsid w:val="003F31E8"/>
    <w:rsid w:val="003F5563"/>
    <w:rsid w:val="003F5851"/>
    <w:rsid w:val="003F7EF4"/>
    <w:rsid w:val="00400449"/>
    <w:rsid w:val="00401A29"/>
    <w:rsid w:val="004027DF"/>
    <w:rsid w:val="00402C7E"/>
    <w:rsid w:val="00402D64"/>
    <w:rsid w:val="004034A1"/>
    <w:rsid w:val="00413D77"/>
    <w:rsid w:val="00420128"/>
    <w:rsid w:val="00421B4E"/>
    <w:rsid w:val="00422BA8"/>
    <w:rsid w:val="0042331E"/>
    <w:rsid w:val="00427E32"/>
    <w:rsid w:val="00441A83"/>
    <w:rsid w:val="00441B09"/>
    <w:rsid w:val="00441F5E"/>
    <w:rsid w:val="00442B25"/>
    <w:rsid w:val="00442CFA"/>
    <w:rsid w:val="0044585B"/>
    <w:rsid w:val="004465A5"/>
    <w:rsid w:val="00451180"/>
    <w:rsid w:val="0045124C"/>
    <w:rsid w:val="0045192B"/>
    <w:rsid w:val="004538F0"/>
    <w:rsid w:val="004551C3"/>
    <w:rsid w:val="00456702"/>
    <w:rsid w:val="00461AEB"/>
    <w:rsid w:val="00462EAE"/>
    <w:rsid w:val="00463E4D"/>
    <w:rsid w:val="004655B2"/>
    <w:rsid w:val="00465DCB"/>
    <w:rsid w:val="00471279"/>
    <w:rsid w:val="00472D09"/>
    <w:rsid w:val="00475D0E"/>
    <w:rsid w:val="004764B4"/>
    <w:rsid w:val="00485D0F"/>
    <w:rsid w:val="0048668C"/>
    <w:rsid w:val="00487248"/>
    <w:rsid w:val="00490BF6"/>
    <w:rsid w:val="00490C1C"/>
    <w:rsid w:val="0049622D"/>
    <w:rsid w:val="00497DCF"/>
    <w:rsid w:val="00497FF7"/>
    <w:rsid w:val="004A1732"/>
    <w:rsid w:val="004A4C2D"/>
    <w:rsid w:val="004A5576"/>
    <w:rsid w:val="004A71D2"/>
    <w:rsid w:val="004B579C"/>
    <w:rsid w:val="004B60CC"/>
    <w:rsid w:val="004B747D"/>
    <w:rsid w:val="004C5D3F"/>
    <w:rsid w:val="004C6583"/>
    <w:rsid w:val="004D05F6"/>
    <w:rsid w:val="004D18E9"/>
    <w:rsid w:val="004D3540"/>
    <w:rsid w:val="004D6147"/>
    <w:rsid w:val="004E03B1"/>
    <w:rsid w:val="004E1BEA"/>
    <w:rsid w:val="004E223C"/>
    <w:rsid w:val="004E56E0"/>
    <w:rsid w:val="004E78DA"/>
    <w:rsid w:val="004F2075"/>
    <w:rsid w:val="004F2BA0"/>
    <w:rsid w:val="004F2D26"/>
    <w:rsid w:val="004F79CB"/>
    <w:rsid w:val="004F7CEE"/>
    <w:rsid w:val="004F7F9B"/>
    <w:rsid w:val="005017C0"/>
    <w:rsid w:val="00501994"/>
    <w:rsid w:val="00506A4A"/>
    <w:rsid w:val="00507D05"/>
    <w:rsid w:val="00514014"/>
    <w:rsid w:val="00523622"/>
    <w:rsid w:val="00524604"/>
    <w:rsid w:val="005252BF"/>
    <w:rsid w:val="00527C77"/>
    <w:rsid w:val="00527E0C"/>
    <w:rsid w:val="0053215D"/>
    <w:rsid w:val="00537ED5"/>
    <w:rsid w:val="005403C8"/>
    <w:rsid w:val="00540FE4"/>
    <w:rsid w:val="0054293F"/>
    <w:rsid w:val="00545678"/>
    <w:rsid w:val="00545745"/>
    <w:rsid w:val="00554ACE"/>
    <w:rsid w:val="00561AD2"/>
    <w:rsid w:val="005624BF"/>
    <w:rsid w:val="00563058"/>
    <w:rsid w:val="0056509F"/>
    <w:rsid w:val="005672AC"/>
    <w:rsid w:val="00573D0D"/>
    <w:rsid w:val="00573F36"/>
    <w:rsid w:val="00574D0E"/>
    <w:rsid w:val="005761D6"/>
    <w:rsid w:val="00580010"/>
    <w:rsid w:val="0058056B"/>
    <w:rsid w:val="00580698"/>
    <w:rsid w:val="00581165"/>
    <w:rsid w:val="0058211C"/>
    <w:rsid w:val="00583962"/>
    <w:rsid w:val="0058513D"/>
    <w:rsid w:val="0058568D"/>
    <w:rsid w:val="005864EF"/>
    <w:rsid w:val="00587EDF"/>
    <w:rsid w:val="005919B9"/>
    <w:rsid w:val="005925A0"/>
    <w:rsid w:val="00592D44"/>
    <w:rsid w:val="00593182"/>
    <w:rsid w:val="0059471C"/>
    <w:rsid w:val="00594F9D"/>
    <w:rsid w:val="005A4CC3"/>
    <w:rsid w:val="005A5C24"/>
    <w:rsid w:val="005A7DDE"/>
    <w:rsid w:val="005B14A6"/>
    <w:rsid w:val="005B3203"/>
    <w:rsid w:val="005B3B99"/>
    <w:rsid w:val="005B4AE4"/>
    <w:rsid w:val="005B5496"/>
    <w:rsid w:val="005B610C"/>
    <w:rsid w:val="005C07E8"/>
    <w:rsid w:val="005C0916"/>
    <w:rsid w:val="005C23C4"/>
    <w:rsid w:val="005C4FBA"/>
    <w:rsid w:val="005C6757"/>
    <w:rsid w:val="005D24FB"/>
    <w:rsid w:val="005D28B2"/>
    <w:rsid w:val="005D2F0A"/>
    <w:rsid w:val="005D4C06"/>
    <w:rsid w:val="005D73C0"/>
    <w:rsid w:val="005E3FD1"/>
    <w:rsid w:val="005E53F7"/>
    <w:rsid w:val="005E79B5"/>
    <w:rsid w:val="005E7ABF"/>
    <w:rsid w:val="005F46BD"/>
    <w:rsid w:val="005F4BCE"/>
    <w:rsid w:val="005F53DE"/>
    <w:rsid w:val="00602CFB"/>
    <w:rsid w:val="00603A8D"/>
    <w:rsid w:val="0060555E"/>
    <w:rsid w:val="00605E91"/>
    <w:rsid w:val="006102D4"/>
    <w:rsid w:val="00612983"/>
    <w:rsid w:val="00612BDA"/>
    <w:rsid w:val="0061374C"/>
    <w:rsid w:val="00615238"/>
    <w:rsid w:val="0062057D"/>
    <w:rsid w:val="00620D34"/>
    <w:rsid w:val="00624E80"/>
    <w:rsid w:val="00627185"/>
    <w:rsid w:val="00630056"/>
    <w:rsid w:val="0063275E"/>
    <w:rsid w:val="0063631C"/>
    <w:rsid w:val="00636CB2"/>
    <w:rsid w:val="00640F8F"/>
    <w:rsid w:val="00641255"/>
    <w:rsid w:val="00642D57"/>
    <w:rsid w:val="006442FB"/>
    <w:rsid w:val="00645C53"/>
    <w:rsid w:val="0065160B"/>
    <w:rsid w:val="0065719D"/>
    <w:rsid w:val="00657C1F"/>
    <w:rsid w:val="00660A11"/>
    <w:rsid w:val="00662069"/>
    <w:rsid w:val="00663C9C"/>
    <w:rsid w:val="00666BF7"/>
    <w:rsid w:val="006679CB"/>
    <w:rsid w:val="00670AD5"/>
    <w:rsid w:val="00671A74"/>
    <w:rsid w:val="00673B0D"/>
    <w:rsid w:val="006768F0"/>
    <w:rsid w:val="006815CE"/>
    <w:rsid w:val="00681C65"/>
    <w:rsid w:val="0068337B"/>
    <w:rsid w:val="00686403"/>
    <w:rsid w:val="00686EA5"/>
    <w:rsid w:val="00687359"/>
    <w:rsid w:val="00690B8E"/>
    <w:rsid w:val="00693233"/>
    <w:rsid w:val="0069331B"/>
    <w:rsid w:val="00694732"/>
    <w:rsid w:val="0069484E"/>
    <w:rsid w:val="006977EA"/>
    <w:rsid w:val="006A2472"/>
    <w:rsid w:val="006A3B4D"/>
    <w:rsid w:val="006B0B59"/>
    <w:rsid w:val="006B2FF6"/>
    <w:rsid w:val="006B6378"/>
    <w:rsid w:val="006B65A6"/>
    <w:rsid w:val="006C250F"/>
    <w:rsid w:val="006C287C"/>
    <w:rsid w:val="006C3DA0"/>
    <w:rsid w:val="006C40E6"/>
    <w:rsid w:val="006C6045"/>
    <w:rsid w:val="006C6D21"/>
    <w:rsid w:val="006C7397"/>
    <w:rsid w:val="006C7417"/>
    <w:rsid w:val="006D1121"/>
    <w:rsid w:val="006D1C1E"/>
    <w:rsid w:val="006D1C66"/>
    <w:rsid w:val="006D2B09"/>
    <w:rsid w:val="006D69F9"/>
    <w:rsid w:val="006E2320"/>
    <w:rsid w:val="006E5858"/>
    <w:rsid w:val="006E6DA6"/>
    <w:rsid w:val="006F0730"/>
    <w:rsid w:val="006F2341"/>
    <w:rsid w:val="006F2FC1"/>
    <w:rsid w:val="006F30E4"/>
    <w:rsid w:val="006F377D"/>
    <w:rsid w:val="006F5229"/>
    <w:rsid w:val="007003EF"/>
    <w:rsid w:val="00701C9A"/>
    <w:rsid w:val="00702C2A"/>
    <w:rsid w:val="00704B3C"/>
    <w:rsid w:val="007069C6"/>
    <w:rsid w:val="00710EBF"/>
    <w:rsid w:val="007112FE"/>
    <w:rsid w:val="007124CE"/>
    <w:rsid w:val="00714CCB"/>
    <w:rsid w:val="00716CE8"/>
    <w:rsid w:val="00716F99"/>
    <w:rsid w:val="007215C0"/>
    <w:rsid w:val="00721D95"/>
    <w:rsid w:val="00740061"/>
    <w:rsid w:val="007427F6"/>
    <w:rsid w:val="00750DAA"/>
    <w:rsid w:val="00756044"/>
    <w:rsid w:val="007642BA"/>
    <w:rsid w:val="00767B8A"/>
    <w:rsid w:val="007716B6"/>
    <w:rsid w:val="00772238"/>
    <w:rsid w:val="00773572"/>
    <w:rsid w:val="00773EB0"/>
    <w:rsid w:val="0078600A"/>
    <w:rsid w:val="00787678"/>
    <w:rsid w:val="0079151A"/>
    <w:rsid w:val="00795B13"/>
    <w:rsid w:val="007A2393"/>
    <w:rsid w:val="007A51E9"/>
    <w:rsid w:val="007A59AA"/>
    <w:rsid w:val="007A6B02"/>
    <w:rsid w:val="007B1EDB"/>
    <w:rsid w:val="007B4B57"/>
    <w:rsid w:val="007B512C"/>
    <w:rsid w:val="007B569C"/>
    <w:rsid w:val="007C0AF1"/>
    <w:rsid w:val="007C3055"/>
    <w:rsid w:val="007C3731"/>
    <w:rsid w:val="007C53E9"/>
    <w:rsid w:val="007C5B0B"/>
    <w:rsid w:val="007D34A5"/>
    <w:rsid w:val="007D6AE6"/>
    <w:rsid w:val="007D7C18"/>
    <w:rsid w:val="007E227B"/>
    <w:rsid w:val="007E2879"/>
    <w:rsid w:val="007E3761"/>
    <w:rsid w:val="007E37DD"/>
    <w:rsid w:val="007F241D"/>
    <w:rsid w:val="00800FFD"/>
    <w:rsid w:val="00801917"/>
    <w:rsid w:val="00801B16"/>
    <w:rsid w:val="008029C1"/>
    <w:rsid w:val="00806806"/>
    <w:rsid w:val="00807554"/>
    <w:rsid w:val="0081060D"/>
    <w:rsid w:val="0081126C"/>
    <w:rsid w:val="00811CA9"/>
    <w:rsid w:val="00812B77"/>
    <w:rsid w:val="008159C3"/>
    <w:rsid w:val="00815A24"/>
    <w:rsid w:val="008163ED"/>
    <w:rsid w:val="008173B2"/>
    <w:rsid w:val="00817A95"/>
    <w:rsid w:val="0082425C"/>
    <w:rsid w:val="00825319"/>
    <w:rsid w:val="008256C7"/>
    <w:rsid w:val="0082644B"/>
    <w:rsid w:val="0083298E"/>
    <w:rsid w:val="00837ED1"/>
    <w:rsid w:val="008513AB"/>
    <w:rsid w:val="00852092"/>
    <w:rsid w:val="00852DF2"/>
    <w:rsid w:val="00853418"/>
    <w:rsid w:val="00855A4F"/>
    <w:rsid w:val="00855D36"/>
    <w:rsid w:val="00863B9B"/>
    <w:rsid w:val="00871C2E"/>
    <w:rsid w:val="00872124"/>
    <w:rsid w:val="00872852"/>
    <w:rsid w:val="0088054B"/>
    <w:rsid w:val="00884123"/>
    <w:rsid w:val="00884CCF"/>
    <w:rsid w:val="00885406"/>
    <w:rsid w:val="00885685"/>
    <w:rsid w:val="00890C8F"/>
    <w:rsid w:val="008915DC"/>
    <w:rsid w:val="00892F0B"/>
    <w:rsid w:val="00896D0E"/>
    <w:rsid w:val="008A19F7"/>
    <w:rsid w:val="008A2BC7"/>
    <w:rsid w:val="008A351A"/>
    <w:rsid w:val="008A4184"/>
    <w:rsid w:val="008B292F"/>
    <w:rsid w:val="008B4D0F"/>
    <w:rsid w:val="008B4D4B"/>
    <w:rsid w:val="008B53FB"/>
    <w:rsid w:val="008B6831"/>
    <w:rsid w:val="008C082E"/>
    <w:rsid w:val="008C1B8E"/>
    <w:rsid w:val="008C1BC0"/>
    <w:rsid w:val="008C251D"/>
    <w:rsid w:val="008C5640"/>
    <w:rsid w:val="008C7E75"/>
    <w:rsid w:val="008D0761"/>
    <w:rsid w:val="008D1965"/>
    <w:rsid w:val="008D3D01"/>
    <w:rsid w:val="008D49AC"/>
    <w:rsid w:val="008E0C91"/>
    <w:rsid w:val="008E1A59"/>
    <w:rsid w:val="008E1FCD"/>
    <w:rsid w:val="008E27E2"/>
    <w:rsid w:val="008E4660"/>
    <w:rsid w:val="008E4E73"/>
    <w:rsid w:val="008E5281"/>
    <w:rsid w:val="008E57D5"/>
    <w:rsid w:val="008E5EC2"/>
    <w:rsid w:val="008E6DB6"/>
    <w:rsid w:val="008F10EA"/>
    <w:rsid w:val="008F4055"/>
    <w:rsid w:val="008F5577"/>
    <w:rsid w:val="008F64D5"/>
    <w:rsid w:val="008F70D3"/>
    <w:rsid w:val="00902EF3"/>
    <w:rsid w:val="0090751E"/>
    <w:rsid w:val="00914CB6"/>
    <w:rsid w:val="00915EF1"/>
    <w:rsid w:val="00915F00"/>
    <w:rsid w:val="00915F4F"/>
    <w:rsid w:val="00916B10"/>
    <w:rsid w:val="00917F93"/>
    <w:rsid w:val="009254EC"/>
    <w:rsid w:val="00926419"/>
    <w:rsid w:val="00926EF4"/>
    <w:rsid w:val="0093698D"/>
    <w:rsid w:val="00936E72"/>
    <w:rsid w:val="00937788"/>
    <w:rsid w:val="009429B0"/>
    <w:rsid w:val="00945A03"/>
    <w:rsid w:val="00945BA0"/>
    <w:rsid w:val="0094725F"/>
    <w:rsid w:val="0095133E"/>
    <w:rsid w:val="00952A95"/>
    <w:rsid w:val="00954894"/>
    <w:rsid w:val="00954EDF"/>
    <w:rsid w:val="009566A4"/>
    <w:rsid w:val="00957D6E"/>
    <w:rsid w:val="00964231"/>
    <w:rsid w:val="00965066"/>
    <w:rsid w:val="00971CBF"/>
    <w:rsid w:val="00972E5D"/>
    <w:rsid w:val="009762F9"/>
    <w:rsid w:val="009805FD"/>
    <w:rsid w:val="00984AB7"/>
    <w:rsid w:val="0099276E"/>
    <w:rsid w:val="00992B11"/>
    <w:rsid w:val="009933A2"/>
    <w:rsid w:val="0099623C"/>
    <w:rsid w:val="00997680"/>
    <w:rsid w:val="009A0BFE"/>
    <w:rsid w:val="009A3F7B"/>
    <w:rsid w:val="009A3F9F"/>
    <w:rsid w:val="009A4C94"/>
    <w:rsid w:val="009A4F9D"/>
    <w:rsid w:val="009A69BB"/>
    <w:rsid w:val="009B0C0F"/>
    <w:rsid w:val="009C380C"/>
    <w:rsid w:val="009C3FC5"/>
    <w:rsid w:val="009D5217"/>
    <w:rsid w:val="009D609E"/>
    <w:rsid w:val="009D6400"/>
    <w:rsid w:val="009D7E87"/>
    <w:rsid w:val="009E05F2"/>
    <w:rsid w:val="009E51AC"/>
    <w:rsid w:val="009F3BE1"/>
    <w:rsid w:val="009F4A75"/>
    <w:rsid w:val="009F5B97"/>
    <w:rsid w:val="009F5CBC"/>
    <w:rsid w:val="009F7917"/>
    <w:rsid w:val="00A05E4B"/>
    <w:rsid w:val="00A125AD"/>
    <w:rsid w:val="00A15903"/>
    <w:rsid w:val="00A1717D"/>
    <w:rsid w:val="00A17E74"/>
    <w:rsid w:val="00A22177"/>
    <w:rsid w:val="00A22764"/>
    <w:rsid w:val="00A227D0"/>
    <w:rsid w:val="00A27A06"/>
    <w:rsid w:val="00A308F1"/>
    <w:rsid w:val="00A317B8"/>
    <w:rsid w:val="00A32B72"/>
    <w:rsid w:val="00A32EFA"/>
    <w:rsid w:val="00A33BAC"/>
    <w:rsid w:val="00A3501F"/>
    <w:rsid w:val="00A40FCF"/>
    <w:rsid w:val="00A45819"/>
    <w:rsid w:val="00A47523"/>
    <w:rsid w:val="00A47EA2"/>
    <w:rsid w:val="00A5139F"/>
    <w:rsid w:val="00A55FC8"/>
    <w:rsid w:val="00A57C08"/>
    <w:rsid w:val="00A60F32"/>
    <w:rsid w:val="00A60F44"/>
    <w:rsid w:val="00A6496D"/>
    <w:rsid w:val="00A66EED"/>
    <w:rsid w:val="00A66F7E"/>
    <w:rsid w:val="00A674B6"/>
    <w:rsid w:val="00A67ED4"/>
    <w:rsid w:val="00A73823"/>
    <w:rsid w:val="00A754F5"/>
    <w:rsid w:val="00A85A49"/>
    <w:rsid w:val="00A86E3F"/>
    <w:rsid w:val="00A92973"/>
    <w:rsid w:val="00A93420"/>
    <w:rsid w:val="00AA0659"/>
    <w:rsid w:val="00AA27A2"/>
    <w:rsid w:val="00AA4473"/>
    <w:rsid w:val="00AA6590"/>
    <w:rsid w:val="00AA6EA2"/>
    <w:rsid w:val="00AA7450"/>
    <w:rsid w:val="00AB17E7"/>
    <w:rsid w:val="00AB2F76"/>
    <w:rsid w:val="00AB3183"/>
    <w:rsid w:val="00AB606A"/>
    <w:rsid w:val="00AB7655"/>
    <w:rsid w:val="00AB7BFC"/>
    <w:rsid w:val="00AC10E0"/>
    <w:rsid w:val="00AC5258"/>
    <w:rsid w:val="00AC590A"/>
    <w:rsid w:val="00AC643D"/>
    <w:rsid w:val="00AD74DD"/>
    <w:rsid w:val="00AE3A0B"/>
    <w:rsid w:val="00AE4C27"/>
    <w:rsid w:val="00AE6E13"/>
    <w:rsid w:val="00AE7594"/>
    <w:rsid w:val="00AF5F94"/>
    <w:rsid w:val="00AF7B0D"/>
    <w:rsid w:val="00B0073E"/>
    <w:rsid w:val="00B00BB3"/>
    <w:rsid w:val="00B03B7A"/>
    <w:rsid w:val="00B073CE"/>
    <w:rsid w:val="00B07EB5"/>
    <w:rsid w:val="00B07F04"/>
    <w:rsid w:val="00B1090A"/>
    <w:rsid w:val="00B12BBF"/>
    <w:rsid w:val="00B17CF3"/>
    <w:rsid w:val="00B20C67"/>
    <w:rsid w:val="00B24C5D"/>
    <w:rsid w:val="00B24E6B"/>
    <w:rsid w:val="00B24FC0"/>
    <w:rsid w:val="00B269A5"/>
    <w:rsid w:val="00B26EFA"/>
    <w:rsid w:val="00B333F6"/>
    <w:rsid w:val="00B36BBF"/>
    <w:rsid w:val="00B37140"/>
    <w:rsid w:val="00B41226"/>
    <w:rsid w:val="00B422D3"/>
    <w:rsid w:val="00B432A5"/>
    <w:rsid w:val="00B43FA7"/>
    <w:rsid w:val="00B44A69"/>
    <w:rsid w:val="00B45788"/>
    <w:rsid w:val="00B463D6"/>
    <w:rsid w:val="00B5108F"/>
    <w:rsid w:val="00B5439A"/>
    <w:rsid w:val="00B54852"/>
    <w:rsid w:val="00B55226"/>
    <w:rsid w:val="00B57F40"/>
    <w:rsid w:val="00B57F48"/>
    <w:rsid w:val="00B70AD8"/>
    <w:rsid w:val="00B72DD5"/>
    <w:rsid w:val="00B80ADA"/>
    <w:rsid w:val="00B81131"/>
    <w:rsid w:val="00B821C2"/>
    <w:rsid w:val="00B96229"/>
    <w:rsid w:val="00B975B4"/>
    <w:rsid w:val="00BA404F"/>
    <w:rsid w:val="00BA4930"/>
    <w:rsid w:val="00BA4EA5"/>
    <w:rsid w:val="00BB086C"/>
    <w:rsid w:val="00BB09B9"/>
    <w:rsid w:val="00BB28F0"/>
    <w:rsid w:val="00BB5C8A"/>
    <w:rsid w:val="00BB5FD8"/>
    <w:rsid w:val="00BC3CFD"/>
    <w:rsid w:val="00BC5039"/>
    <w:rsid w:val="00BD0747"/>
    <w:rsid w:val="00BD0E15"/>
    <w:rsid w:val="00BD0EE6"/>
    <w:rsid w:val="00BE4FEF"/>
    <w:rsid w:val="00BF1D85"/>
    <w:rsid w:val="00C002F0"/>
    <w:rsid w:val="00C024AD"/>
    <w:rsid w:val="00C02528"/>
    <w:rsid w:val="00C03DCE"/>
    <w:rsid w:val="00C072C5"/>
    <w:rsid w:val="00C077EB"/>
    <w:rsid w:val="00C200E7"/>
    <w:rsid w:val="00C24BF7"/>
    <w:rsid w:val="00C30A84"/>
    <w:rsid w:val="00C43FD0"/>
    <w:rsid w:val="00C46248"/>
    <w:rsid w:val="00C465DE"/>
    <w:rsid w:val="00C46B6A"/>
    <w:rsid w:val="00C53817"/>
    <w:rsid w:val="00C53D67"/>
    <w:rsid w:val="00C54177"/>
    <w:rsid w:val="00C560FB"/>
    <w:rsid w:val="00C60DA6"/>
    <w:rsid w:val="00C61D94"/>
    <w:rsid w:val="00C63093"/>
    <w:rsid w:val="00C6641F"/>
    <w:rsid w:val="00C667E4"/>
    <w:rsid w:val="00C6690A"/>
    <w:rsid w:val="00C67DBB"/>
    <w:rsid w:val="00C72093"/>
    <w:rsid w:val="00C748F2"/>
    <w:rsid w:val="00C75A8A"/>
    <w:rsid w:val="00C770A6"/>
    <w:rsid w:val="00C9038E"/>
    <w:rsid w:val="00C916BE"/>
    <w:rsid w:val="00C930F4"/>
    <w:rsid w:val="00C975DA"/>
    <w:rsid w:val="00CA20A6"/>
    <w:rsid w:val="00CA244F"/>
    <w:rsid w:val="00CA2D5E"/>
    <w:rsid w:val="00CA326F"/>
    <w:rsid w:val="00CA4532"/>
    <w:rsid w:val="00CA6B40"/>
    <w:rsid w:val="00CB11AC"/>
    <w:rsid w:val="00CB1423"/>
    <w:rsid w:val="00CB2674"/>
    <w:rsid w:val="00CB26D6"/>
    <w:rsid w:val="00CB29A6"/>
    <w:rsid w:val="00CB2C23"/>
    <w:rsid w:val="00CB30A9"/>
    <w:rsid w:val="00CB440F"/>
    <w:rsid w:val="00CB604F"/>
    <w:rsid w:val="00CB61E8"/>
    <w:rsid w:val="00CC0E97"/>
    <w:rsid w:val="00CC349C"/>
    <w:rsid w:val="00CC46BF"/>
    <w:rsid w:val="00CC5CC0"/>
    <w:rsid w:val="00CC6861"/>
    <w:rsid w:val="00CD147F"/>
    <w:rsid w:val="00CD1A0E"/>
    <w:rsid w:val="00CD2B9C"/>
    <w:rsid w:val="00CD2C0F"/>
    <w:rsid w:val="00CD63CE"/>
    <w:rsid w:val="00CD6B49"/>
    <w:rsid w:val="00CE6788"/>
    <w:rsid w:val="00CF3223"/>
    <w:rsid w:val="00CF5049"/>
    <w:rsid w:val="00CF6599"/>
    <w:rsid w:val="00CF7995"/>
    <w:rsid w:val="00D00638"/>
    <w:rsid w:val="00D013BD"/>
    <w:rsid w:val="00D02762"/>
    <w:rsid w:val="00D03404"/>
    <w:rsid w:val="00D05D01"/>
    <w:rsid w:val="00D100E2"/>
    <w:rsid w:val="00D107A1"/>
    <w:rsid w:val="00D112B5"/>
    <w:rsid w:val="00D12BF4"/>
    <w:rsid w:val="00D163EA"/>
    <w:rsid w:val="00D21584"/>
    <w:rsid w:val="00D22887"/>
    <w:rsid w:val="00D23317"/>
    <w:rsid w:val="00D2371A"/>
    <w:rsid w:val="00D23A35"/>
    <w:rsid w:val="00D23F97"/>
    <w:rsid w:val="00D27110"/>
    <w:rsid w:val="00D27BCF"/>
    <w:rsid w:val="00D30EBA"/>
    <w:rsid w:val="00D31111"/>
    <w:rsid w:val="00D31812"/>
    <w:rsid w:val="00D32410"/>
    <w:rsid w:val="00D32B8C"/>
    <w:rsid w:val="00D349F0"/>
    <w:rsid w:val="00D40BCD"/>
    <w:rsid w:val="00D4335F"/>
    <w:rsid w:val="00D5138B"/>
    <w:rsid w:val="00D51BDB"/>
    <w:rsid w:val="00D52727"/>
    <w:rsid w:val="00D566FF"/>
    <w:rsid w:val="00D56CC7"/>
    <w:rsid w:val="00D57F55"/>
    <w:rsid w:val="00D63628"/>
    <w:rsid w:val="00D63CE2"/>
    <w:rsid w:val="00D7241B"/>
    <w:rsid w:val="00D72D51"/>
    <w:rsid w:val="00D72DE8"/>
    <w:rsid w:val="00D72E51"/>
    <w:rsid w:val="00D73F99"/>
    <w:rsid w:val="00D75A03"/>
    <w:rsid w:val="00D76CB3"/>
    <w:rsid w:val="00D83065"/>
    <w:rsid w:val="00D911F3"/>
    <w:rsid w:val="00D92DE1"/>
    <w:rsid w:val="00D931D8"/>
    <w:rsid w:val="00D9474A"/>
    <w:rsid w:val="00D967F8"/>
    <w:rsid w:val="00DA232C"/>
    <w:rsid w:val="00DA2BE2"/>
    <w:rsid w:val="00DA4719"/>
    <w:rsid w:val="00DA4B96"/>
    <w:rsid w:val="00DA7200"/>
    <w:rsid w:val="00DB2E5E"/>
    <w:rsid w:val="00DB3B7D"/>
    <w:rsid w:val="00DB69C4"/>
    <w:rsid w:val="00DC0CBB"/>
    <w:rsid w:val="00DC665F"/>
    <w:rsid w:val="00DD39A9"/>
    <w:rsid w:val="00DD484B"/>
    <w:rsid w:val="00DD4E25"/>
    <w:rsid w:val="00DD56A9"/>
    <w:rsid w:val="00DD67FE"/>
    <w:rsid w:val="00DD7679"/>
    <w:rsid w:val="00DE0103"/>
    <w:rsid w:val="00DE05C9"/>
    <w:rsid w:val="00DE0CDB"/>
    <w:rsid w:val="00DE13FC"/>
    <w:rsid w:val="00DE6AE8"/>
    <w:rsid w:val="00DF0F93"/>
    <w:rsid w:val="00DF1015"/>
    <w:rsid w:val="00DF34EE"/>
    <w:rsid w:val="00E06D47"/>
    <w:rsid w:val="00E12921"/>
    <w:rsid w:val="00E14C79"/>
    <w:rsid w:val="00E210BB"/>
    <w:rsid w:val="00E26840"/>
    <w:rsid w:val="00E30A30"/>
    <w:rsid w:val="00E35CA4"/>
    <w:rsid w:val="00E406E5"/>
    <w:rsid w:val="00E40FF3"/>
    <w:rsid w:val="00E4362A"/>
    <w:rsid w:val="00E43F35"/>
    <w:rsid w:val="00E56DA5"/>
    <w:rsid w:val="00E604D8"/>
    <w:rsid w:val="00E606DA"/>
    <w:rsid w:val="00E61091"/>
    <w:rsid w:val="00E62E42"/>
    <w:rsid w:val="00E64C98"/>
    <w:rsid w:val="00E67975"/>
    <w:rsid w:val="00E761AC"/>
    <w:rsid w:val="00E76DA7"/>
    <w:rsid w:val="00E82C45"/>
    <w:rsid w:val="00E831F3"/>
    <w:rsid w:val="00E83FE2"/>
    <w:rsid w:val="00E930E1"/>
    <w:rsid w:val="00E937B1"/>
    <w:rsid w:val="00E940FB"/>
    <w:rsid w:val="00EA1859"/>
    <w:rsid w:val="00EA61FE"/>
    <w:rsid w:val="00EB0D59"/>
    <w:rsid w:val="00EB4A58"/>
    <w:rsid w:val="00EB4CE4"/>
    <w:rsid w:val="00EB5F6B"/>
    <w:rsid w:val="00EB74C2"/>
    <w:rsid w:val="00EC38D2"/>
    <w:rsid w:val="00EC3C85"/>
    <w:rsid w:val="00ED0C47"/>
    <w:rsid w:val="00ED3A34"/>
    <w:rsid w:val="00ED75C1"/>
    <w:rsid w:val="00EE211A"/>
    <w:rsid w:val="00EE2BA5"/>
    <w:rsid w:val="00EE3FD2"/>
    <w:rsid w:val="00EE6067"/>
    <w:rsid w:val="00EE71A6"/>
    <w:rsid w:val="00EF3F76"/>
    <w:rsid w:val="00F00B9D"/>
    <w:rsid w:val="00F03021"/>
    <w:rsid w:val="00F0668D"/>
    <w:rsid w:val="00F1017A"/>
    <w:rsid w:val="00F22C9C"/>
    <w:rsid w:val="00F23876"/>
    <w:rsid w:val="00F255A8"/>
    <w:rsid w:val="00F2732D"/>
    <w:rsid w:val="00F273F5"/>
    <w:rsid w:val="00F34976"/>
    <w:rsid w:val="00F36A94"/>
    <w:rsid w:val="00F36C66"/>
    <w:rsid w:val="00F40AE6"/>
    <w:rsid w:val="00F41A9A"/>
    <w:rsid w:val="00F42643"/>
    <w:rsid w:val="00F43496"/>
    <w:rsid w:val="00F4355A"/>
    <w:rsid w:val="00F45593"/>
    <w:rsid w:val="00F514D7"/>
    <w:rsid w:val="00F5267B"/>
    <w:rsid w:val="00F54C1B"/>
    <w:rsid w:val="00F61CF8"/>
    <w:rsid w:val="00F61DFF"/>
    <w:rsid w:val="00F62130"/>
    <w:rsid w:val="00F63D75"/>
    <w:rsid w:val="00F648B6"/>
    <w:rsid w:val="00F65402"/>
    <w:rsid w:val="00F67EB6"/>
    <w:rsid w:val="00F70122"/>
    <w:rsid w:val="00F70AE5"/>
    <w:rsid w:val="00F80A5A"/>
    <w:rsid w:val="00F81029"/>
    <w:rsid w:val="00F834DD"/>
    <w:rsid w:val="00F84303"/>
    <w:rsid w:val="00F850F3"/>
    <w:rsid w:val="00F9161A"/>
    <w:rsid w:val="00F933F4"/>
    <w:rsid w:val="00F936AA"/>
    <w:rsid w:val="00F9445E"/>
    <w:rsid w:val="00FA1E95"/>
    <w:rsid w:val="00FA5429"/>
    <w:rsid w:val="00FB1590"/>
    <w:rsid w:val="00FB241E"/>
    <w:rsid w:val="00FB3DAB"/>
    <w:rsid w:val="00FC010C"/>
    <w:rsid w:val="00FC2BB4"/>
    <w:rsid w:val="00FC6C1F"/>
    <w:rsid w:val="00FC703D"/>
    <w:rsid w:val="00FC73A5"/>
    <w:rsid w:val="00FD17F1"/>
    <w:rsid w:val="00FD5327"/>
    <w:rsid w:val="00FF0E17"/>
    <w:rsid w:val="00FF1CFA"/>
    <w:rsid w:val="00FF2F8F"/>
    <w:rsid w:val="00FF34DF"/>
    <w:rsid w:val="00FF48E9"/>
    <w:rsid w:val="00FF6587"/>
    <w:rsid w:val="00FF674C"/>
    <w:rsid w:val="27A7E39E"/>
    <w:rsid w:val="3BB61981"/>
    <w:rsid w:val="3F3F6E13"/>
    <w:rsid w:val="3F671F25"/>
    <w:rsid w:val="3FF50696"/>
    <w:rsid w:val="4EFFFBBF"/>
    <w:rsid w:val="59FC3636"/>
    <w:rsid w:val="5B3D622B"/>
    <w:rsid w:val="6BED1893"/>
    <w:rsid w:val="6FF5DBCD"/>
    <w:rsid w:val="73FDDE14"/>
    <w:rsid w:val="77DF2C11"/>
    <w:rsid w:val="77FFB6B9"/>
    <w:rsid w:val="78BE0579"/>
    <w:rsid w:val="7CC9A021"/>
    <w:rsid w:val="7F37C7D4"/>
    <w:rsid w:val="7FF9F76D"/>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283E01"/>
  <w15:docId w15:val="{0BF45D84-256E-47D2-A4F5-C6F1DC8C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jc w:val="both"/>
    </w:pPr>
    <w:rPr>
      <w:rFonts w:eastAsia="Times New Roman"/>
      <w:sz w:val="24"/>
      <w:szCs w:val="24"/>
    </w:rPr>
  </w:style>
  <w:style w:type="paragraph" w:styleId="Titre1">
    <w:name w:val="heading 1"/>
    <w:basedOn w:val="Normal"/>
    <w:next w:val="Normal"/>
    <w:link w:val="Titre1Car"/>
    <w:uiPriority w:val="9"/>
    <w:qFormat/>
    <w:pPr>
      <w:keepNext/>
      <w:keepLines/>
      <w:numPr>
        <w:numId w:val="1"/>
      </w:numPr>
      <w:pBdr>
        <w:bottom w:val="single" w:sz="18" w:space="1" w:color="1F497D" w:themeColor="text2"/>
      </w:pBdr>
      <w:spacing w:before="120" w:line="240" w:lineRule="auto"/>
      <w:jc w:val="right"/>
      <w:outlineLvl w:val="0"/>
    </w:pPr>
    <w:rPr>
      <w:rFonts w:asciiTheme="majorHAnsi" w:eastAsiaTheme="majorEastAsia" w:hAnsiTheme="majorHAnsi" w:cstheme="majorBidi"/>
      <w:b/>
      <w:bCs/>
      <w:color w:val="1F497D" w:themeColor="text2"/>
      <w:sz w:val="52"/>
      <w:szCs w:val="28"/>
    </w:rPr>
  </w:style>
  <w:style w:type="paragraph" w:styleId="Titre2">
    <w:name w:val="heading 2"/>
    <w:basedOn w:val="Normal"/>
    <w:next w:val="Normal"/>
    <w:link w:val="Titre2Car"/>
    <w:uiPriority w:val="9"/>
    <w:unhideWhenUsed/>
    <w:qFormat/>
    <w:pPr>
      <w:keepNext/>
      <w:keepLines/>
      <w:numPr>
        <w:ilvl w:val="1"/>
        <w:numId w:val="1"/>
      </w:numPr>
      <w:pBdr>
        <w:bottom w:val="single" w:sz="18" w:space="1" w:color="948A54" w:themeColor="background2" w:themeShade="80"/>
      </w:pBdr>
      <w:spacing w:before="120"/>
      <w:outlineLvl w:val="1"/>
    </w:pPr>
    <w:rPr>
      <w:rFonts w:asciiTheme="majorHAnsi" w:eastAsiaTheme="majorEastAsia" w:hAnsiTheme="majorHAnsi" w:cstheme="majorBidi"/>
      <w:b/>
      <w:bCs/>
      <w:color w:val="948A54" w:themeColor="background2" w:themeShade="80"/>
      <w:sz w:val="26"/>
      <w:szCs w:val="26"/>
    </w:rPr>
  </w:style>
  <w:style w:type="paragraph" w:styleId="Titre3">
    <w:name w:val="heading 3"/>
    <w:basedOn w:val="Normal"/>
    <w:next w:val="Normal"/>
    <w:link w:val="Titre3Car"/>
    <w:uiPriority w:val="9"/>
    <w:unhideWhenUsed/>
    <w:qFormat/>
    <w:pPr>
      <w:keepNext/>
      <w:keepLines/>
      <w:numPr>
        <w:ilvl w:val="2"/>
        <w:numId w:val="1"/>
      </w:numPr>
      <w:pBdr>
        <w:bottom w:val="single" w:sz="8" w:space="1" w:color="948A54" w:themeColor="background2" w:themeShade="80"/>
      </w:pBdr>
      <w:spacing w:before="200" w:after="0"/>
      <w:outlineLvl w:val="2"/>
    </w:pPr>
    <w:rPr>
      <w:rFonts w:asciiTheme="majorHAnsi" w:eastAsiaTheme="majorEastAsia" w:hAnsiTheme="majorHAnsi" w:cstheme="majorBidi"/>
      <w:b/>
      <w:bCs/>
      <w:color w:val="948A54" w:themeColor="background2" w:themeShade="80"/>
    </w:rPr>
  </w:style>
  <w:style w:type="paragraph" w:styleId="Titre4">
    <w:name w:val="heading 4"/>
    <w:basedOn w:val="Normal"/>
    <w:next w:val="Normal"/>
    <w:link w:val="Titre4C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Pr>
      <w:rFonts w:ascii="Tahoma" w:hAnsi="Tahoma" w:cs="Tahoma"/>
      <w:sz w:val="16"/>
      <w:szCs w:val="16"/>
    </w:rPr>
  </w:style>
  <w:style w:type="paragraph" w:styleId="Lgende">
    <w:name w:val="caption"/>
    <w:basedOn w:val="Normal"/>
    <w:next w:val="Normal"/>
    <w:uiPriority w:val="35"/>
    <w:unhideWhenUsed/>
    <w:qFormat/>
    <w:pPr>
      <w:spacing w:after="200"/>
    </w:pPr>
    <w:rPr>
      <w:b/>
      <w:bCs/>
      <w:color w:val="4F81BD" w:themeColor="accent1"/>
      <w:sz w:val="18"/>
      <w:szCs w:val="18"/>
    </w:rPr>
  </w:style>
  <w:style w:type="paragraph" w:styleId="Explorateurdedocuments">
    <w:name w:val="Document Map"/>
    <w:basedOn w:val="Normal"/>
    <w:link w:val="ExplorateurdedocumentsCar"/>
    <w:uiPriority w:val="99"/>
    <w:semiHidden/>
    <w:unhideWhenUsed/>
    <w:pPr>
      <w:spacing w:after="0" w:line="240" w:lineRule="auto"/>
    </w:pPr>
    <w:rPr>
      <w:rFonts w:ascii="Tahoma" w:hAnsi="Tahoma" w:cs="Tahoma"/>
      <w:sz w:val="16"/>
      <w:szCs w:val="16"/>
    </w:rPr>
  </w:style>
  <w:style w:type="character" w:styleId="Accentuation">
    <w:name w:val="Emphasis"/>
    <w:basedOn w:val="Policepardfaut"/>
    <w:uiPriority w:val="20"/>
    <w:qFormat/>
    <w:rPr>
      <w:i/>
      <w:iCs/>
    </w:rPr>
  </w:style>
  <w:style w:type="character" w:styleId="Lienhypertextesuivivisit">
    <w:name w:val="FollowedHyperlink"/>
    <w:basedOn w:val="Policepardfaut"/>
    <w:uiPriority w:val="99"/>
    <w:semiHidden/>
    <w:unhideWhenUsed/>
    <w:rPr>
      <w:color w:val="800080" w:themeColor="followedHyperlink"/>
      <w:u w:val="single"/>
    </w:rPr>
  </w:style>
  <w:style w:type="paragraph" w:styleId="Pieddepage">
    <w:name w:val="footer"/>
    <w:basedOn w:val="Normal"/>
    <w:link w:val="PieddepageCar"/>
    <w:uiPriority w:val="99"/>
    <w:unhideWhenUsed/>
    <w:pPr>
      <w:tabs>
        <w:tab w:val="center" w:pos="4536"/>
        <w:tab w:val="right" w:pos="9072"/>
      </w:tabs>
      <w:spacing w:after="0"/>
    </w:pPr>
  </w:style>
  <w:style w:type="paragraph" w:styleId="En-tte">
    <w:name w:val="header"/>
    <w:basedOn w:val="Normal"/>
    <w:link w:val="En-tteCar"/>
    <w:uiPriority w:val="99"/>
    <w:unhideWhenUsed/>
    <w:pPr>
      <w:tabs>
        <w:tab w:val="center" w:pos="4536"/>
        <w:tab w:val="right" w:pos="9072"/>
      </w:tabs>
      <w:spacing w:after="0"/>
    </w:pPr>
  </w:style>
  <w:style w:type="character" w:styleId="Lienhypertexte">
    <w:name w:val="Hyperlink"/>
    <w:basedOn w:val="Policepardfau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jc w:val="left"/>
    </w:p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pPr>
      <w:spacing w:after="0"/>
    </w:pPr>
  </w:style>
  <w:style w:type="paragraph" w:styleId="Titre">
    <w:name w:val="Title"/>
    <w:basedOn w:val="Normal"/>
    <w:next w:val="Normal"/>
    <w:link w:val="TitreCar"/>
    <w:uiPriority w:val="10"/>
    <w:qFormat/>
    <w:pPr>
      <w:numPr>
        <w:numId w:val="2"/>
      </w:numPr>
      <w:pBdr>
        <w:bottom w:val="single" w:sz="18" w:space="4" w:color="365F91" w:themeColor="accent1" w:themeShade="BF"/>
      </w:pBdr>
      <w:spacing w:line="240" w:lineRule="auto"/>
      <w:contextualSpacing/>
      <w:jc w:val="right"/>
    </w:pPr>
    <w:rPr>
      <w:rFonts w:asciiTheme="majorHAnsi" w:eastAsiaTheme="majorEastAsia" w:hAnsiTheme="majorHAnsi" w:cstheme="majorBidi"/>
      <w:b/>
      <w:color w:val="365F91" w:themeColor="accent1" w:themeShade="BF"/>
      <w:spacing w:val="5"/>
      <w:kern w:val="28"/>
      <w:sz w:val="52"/>
      <w:szCs w:val="52"/>
    </w:rPr>
  </w:style>
  <w:style w:type="paragraph" w:styleId="TM1">
    <w:name w:val="toc 1"/>
    <w:basedOn w:val="Normal"/>
    <w:next w:val="Normal"/>
    <w:uiPriority w:val="39"/>
    <w:unhideWhenUsed/>
    <w:qFormat/>
    <w:pPr>
      <w:spacing w:after="100"/>
    </w:pPr>
  </w:style>
  <w:style w:type="paragraph" w:styleId="TM2">
    <w:name w:val="toc 2"/>
    <w:basedOn w:val="Normal"/>
    <w:next w:val="Normal"/>
    <w:uiPriority w:val="39"/>
    <w:unhideWhenUsed/>
    <w:qFormat/>
    <w:pPr>
      <w:spacing w:after="100"/>
      <w:ind w:left="220"/>
    </w:pPr>
  </w:style>
  <w:style w:type="paragraph" w:styleId="TM3">
    <w:name w:val="toc 3"/>
    <w:basedOn w:val="Normal"/>
    <w:next w:val="Normal"/>
    <w:uiPriority w:val="39"/>
    <w:unhideWhenUsed/>
    <w:qFormat/>
    <w:pPr>
      <w:spacing w:after="100" w:line="276" w:lineRule="auto"/>
      <w:ind w:left="440"/>
      <w:jc w:val="left"/>
    </w:pPr>
    <w:rPr>
      <w:rFonts w:asciiTheme="minorHAnsi" w:eastAsiaTheme="minorEastAsia" w:hAnsiTheme="minorHAnsi" w:cstheme="minorBidi"/>
      <w:szCs w:val="22"/>
      <w:lang w:eastAsia="en-US"/>
    </w:rPr>
  </w:style>
  <w:style w:type="paragraph" w:styleId="TM4">
    <w:name w:val="toc 4"/>
    <w:basedOn w:val="Normal"/>
    <w:next w:val="Normal"/>
    <w:uiPriority w:val="39"/>
    <w:unhideWhenUsed/>
    <w:pPr>
      <w:spacing w:after="100"/>
      <w:ind w:left="720"/>
    </w:pPr>
  </w:style>
  <w:style w:type="character" w:customStyle="1" w:styleId="TextedebullesCar">
    <w:name w:val="Texte de bulles Car"/>
    <w:basedOn w:val="Policepardfaut"/>
    <w:link w:val="Textedebulles"/>
    <w:uiPriority w:val="99"/>
    <w:semiHidden/>
    <w:rPr>
      <w:rFonts w:ascii="Tahoma" w:eastAsia="Times New Roman" w:hAnsi="Tahoma" w:cs="Tahoma"/>
      <w:sz w:val="16"/>
      <w:szCs w:val="16"/>
      <w:lang w:eastAsia="fr-FR"/>
    </w:rPr>
  </w:style>
  <w:style w:type="paragraph" w:customStyle="1" w:styleId="Textenormal">
    <w:name w:val="Texte normal"/>
    <w:basedOn w:val="Normal"/>
    <w:link w:val="TextenormalCar"/>
    <w:pPr>
      <w:spacing w:before="120" w:line="288" w:lineRule="auto"/>
      <w:ind w:left="851"/>
    </w:pPr>
    <w:rPr>
      <w:color w:val="0F243E"/>
    </w:rPr>
  </w:style>
  <w:style w:type="paragraph" w:customStyle="1" w:styleId="Paragraphe">
    <w:name w:val="Paragraphe"/>
    <w:basedOn w:val="Textenormal"/>
    <w:qFormat/>
    <w:pPr>
      <w:spacing w:line="264" w:lineRule="auto"/>
    </w:pPr>
    <w:rPr>
      <w:rFonts w:ascii="Calibri" w:hAnsi="Calibri"/>
    </w:rPr>
  </w:style>
  <w:style w:type="character" w:customStyle="1" w:styleId="TextenormalCar">
    <w:name w:val="Texte normal Car"/>
    <w:basedOn w:val="Policepardfaut"/>
    <w:link w:val="Textenormal"/>
    <w:rPr>
      <w:rFonts w:ascii="Times New Roman" w:eastAsia="Times New Roman" w:hAnsi="Times New Roman" w:cs="Times New Roman"/>
      <w:color w:val="0F243E"/>
      <w:szCs w:val="24"/>
      <w:lang w:eastAsia="fr-FR"/>
    </w:rPr>
  </w:style>
  <w:style w:type="paragraph" w:customStyle="1" w:styleId="Section">
    <w:name w:val="Section"/>
    <w:basedOn w:val="TM1"/>
    <w:qFormat/>
    <w:pPr>
      <w:pBdr>
        <w:bottom w:val="single" w:sz="18" w:space="1" w:color="95B3D7" w:themeColor="accent1" w:themeTint="99"/>
      </w:pBdr>
      <w:spacing w:after="360" w:line="276" w:lineRule="auto"/>
      <w:jc w:val="right"/>
    </w:pPr>
    <w:rPr>
      <w:b/>
      <w:color w:val="548DD4" w:themeColor="text2" w:themeTint="99"/>
      <w:sz w:val="44"/>
    </w:rPr>
  </w:style>
  <w:style w:type="character" w:customStyle="1" w:styleId="Titre1Car">
    <w:name w:val="Titre 1 Car"/>
    <w:basedOn w:val="Policepardfaut"/>
    <w:link w:val="Titre1"/>
    <w:uiPriority w:val="9"/>
    <w:rPr>
      <w:rFonts w:asciiTheme="majorHAnsi" w:eastAsiaTheme="majorEastAsia" w:hAnsiTheme="majorHAnsi" w:cstheme="majorBidi"/>
      <w:b/>
      <w:bCs/>
      <w:color w:val="1F497D" w:themeColor="text2"/>
      <w:sz w:val="52"/>
      <w:szCs w:val="28"/>
      <w:lang w:eastAsia="fr-FR"/>
    </w:rPr>
  </w:style>
  <w:style w:type="paragraph" w:styleId="Paragraphedeliste">
    <w:name w:val="List Paragraph"/>
    <w:basedOn w:val="Normal"/>
    <w:uiPriority w:val="34"/>
    <w:qFormat/>
    <w:pPr>
      <w:ind w:left="720"/>
      <w:contextualSpacing/>
    </w:pPr>
  </w:style>
  <w:style w:type="character" w:customStyle="1" w:styleId="Titre2Car">
    <w:name w:val="Titre 2 Car"/>
    <w:basedOn w:val="Policepardfaut"/>
    <w:link w:val="Titre2"/>
    <w:uiPriority w:val="9"/>
    <w:rPr>
      <w:rFonts w:asciiTheme="majorHAnsi" w:eastAsiaTheme="majorEastAsia" w:hAnsiTheme="majorHAnsi" w:cstheme="majorBidi"/>
      <w:b/>
      <w:bCs/>
      <w:color w:val="948A54" w:themeColor="background2" w:themeShade="80"/>
      <w:sz w:val="26"/>
      <w:szCs w:val="26"/>
      <w:lang w:eastAsia="fr-FR"/>
    </w:rPr>
  </w:style>
  <w:style w:type="character" w:customStyle="1" w:styleId="TitreCar">
    <w:name w:val="Titre Car"/>
    <w:basedOn w:val="Policepardfaut"/>
    <w:link w:val="Titre"/>
    <w:uiPriority w:val="10"/>
    <w:rPr>
      <w:rFonts w:asciiTheme="majorHAnsi" w:eastAsiaTheme="majorEastAsia" w:hAnsiTheme="majorHAnsi" w:cstheme="majorBidi"/>
      <w:b/>
      <w:color w:val="365F91" w:themeColor="accent1" w:themeShade="BF"/>
      <w:spacing w:val="5"/>
      <w:kern w:val="28"/>
      <w:sz w:val="52"/>
      <w:szCs w:val="52"/>
      <w:lang w:eastAsia="fr-FR"/>
    </w:rPr>
  </w:style>
  <w:style w:type="paragraph" w:customStyle="1" w:styleId="UneLgende">
    <w:name w:val="UneLégende"/>
    <w:basedOn w:val="Lgende"/>
    <w:qFormat/>
    <w:pPr>
      <w:spacing w:after="120"/>
      <w:jc w:val="center"/>
    </w:pPr>
    <w:rPr>
      <w:color w:val="auto"/>
    </w:rPr>
  </w:style>
  <w:style w:type="paragraph" w:customStyle="1" w:styleId="En-ttedetabledesmatires1">
    <w:name w:val="En-tête de table des matières1"/>
    <w:basedOn w:val="Titre1"/>
    <w:next w:val="Normal"/>
    <w:uiPriority w:val="39"/>
    <w:unhideWhenUsed/>
    <w:qFormat/>
    <w:pPr>
      <w:numPr>
        <w:numId w:val="0"/>
      </w:numPr>
      <w:pBdr>
        <w:bottom w:val="none" w:sz="0" w:space="0" w:color="auto"/>
      </w:pBdr>
      <w:spacing w:after="0" w:line="276" w:lineRule="auto"/>
      <w:jc w:val="left"/>
      <w:outlineLvl w:val="9"/>
    </w:pPr>
    <w:rPr>
      <w:color w:val="365F91" w:themeColor="accent1" w:themeShade="BF"/>
      <w:lang w:eastAsia="en-US"/>
    </w:rPr>
  </w:style>
  <w:style w:type="character" w:customStyle="1" w:styleId="En-tteCar">
    <w:name w:val="En-tête Car"/>
    <w:basedOn w:val="Policepardfaut"/>
    <w:link w:val="En-tte"/>
    <w:uiPriority w:val="99"/>
    <w:rPr>
      <w:rFonts w:ascii="Times New Roman" w:eastAsia="Times New Roman" w:hAnsi="Times New Roman" w:cs="Times New Roman"/>
      <w:szCs w:val="24"/>
      <w:lang w:eastAsia="fr-FR"/>
    </w:rPr>
  </w:style>
  <w:style w:type="character" w:customStyle="1" w:styleId="PieddepageCar">
    <w:name w:val="Pied de page Car"/>
    <w:basedOn w:val="Policepardfaut"/>
    <w:link w:val="Pieddepage"/>
    <w:uiPriority w:val="99"/>
    <w:rPr>
      <w:rFonts w:ascii="Times New Roman" w:eastAsia="Times New Roman" w:hAnsi="Times New Roman" w:cs="Times New Roman"/>
      <w:szCs w:val="24"/>
      <w:lang w:eastAsia="fr-FR"/>
    </w:rPr>
  </w:style>
  <w:style w:type="character" w:customStyle="1" w:styleId="ExplorateurdedocumentsCar">
    <w:name w:val="Explorateur de documents Car"/>
    <w:basedOn w:val="Policepardfaut"/>
    <w:link w:val="Explorateurdedocuments"/>
    <w:uiPriority w:val="99"/>
    <w:semiHidden/>
    <w:rPr>
      <w:rFonts w:ascii="Tahoma" w:eastAsia="Times New Roman" w:hAnsi="Tahoma" w:cs="Tahoma"/>
      <w:sz w:val="16"/>
      <w:szCs w:val="16"/>
      <w:lang w:eastAsia="fr-FR"/>
    </w:rPr>
  </w:style>
  <w:style w:type="character" w:customStyle="1" w:styleId="Titre3Car">
    <w:name w:val="Titre 3 Car"/>
    <w:basedOn w:val="Policepardfaut"/>
    <w:link w:val="Titre3"/>
    <w:uiPriority w:val="9"/>
    <w:rPr>
      <w:rFonts w:asciiTheme="majorHAnsi" w:eastAsiaTheme="majorEastAsia" w:hAnsiTheme="majorHAnsi" w:cstheme="majorBidi"/>
      <w:b/>
      <w:bCs/>
      <w:color w:val="948A54" w:themeColor="background2" w:themeShade="80"/>
      <w:sz w:val="24"/>
      <w:szCs w:val="24"/>
      <w:lang w:eastAsia="fr-FR"/>
    </w:rPr>
  </w:style>
  <w:style w:type="paragraph" w:customStyle="1" w:styleId="Contenudetableau">
    <w:name w:val="Contenu de tableau"/>
    <w:basedOn w:val="Normal"/>
    <w:qFormat/>
    <w:pPr>
      <w:suppressLineNumbers/>
      <w:suppressAutoHyphens/>
      <w:spacing w:after="0" w:line="240" w:lineRule="auto"/>
      <w:jc w:val="left"/>
    </w:pPr>
    <w:rPr>
      <w:rFonts w:cs="Traditional Arabic"/>
      <w:szCs w:val="28"/>
      <w:lang w:eastAsia="hi-IN" w:bidi="hi-IN"/>
    </w:rPr>
  </w:style>
  <w:style w:type="paragraph" w:customStyle="1" w:styleId="Heading21">
    <w:name w:val="Heading 21"/>
    <w:basedOn w:val="Normal"/>
    <w:next w:val="Normal"/>
    <w:qFormat/>
    <w:pPr>
      <w:keepNext/>
      <w:keepLines/>
      <w:tabs>
        <w:tab w:val="left" w:pos="0"/>
      </w:tabs>
      <w:suppressAutoHyphens/>
      <w:spacing w:before="40" w:after="0" w:line="254" w:lineRule="auto"/>
      <w:jc w:val="left"/>
      <w:outlineLvl w:val="1"/>
    </w:pPr>
    <w:rPr>
      <w:rFonts w:ascii="Calibri Light;Calibri" w:hAnsi="Calibri Light;Calibri"/>
      <w:color w:val="2E74B5"/>
      <w:sz w:val="26"/>
      <w:szCs w:val="26"/>
      <w:lang w:eastAsia="zh-CN"/>
    </w:rPr>
  </w:style>
  <w:style w:type="paragraph" w:customStyle="1" w:styleId="Heading61">
    <w:name w:val="Heading 61"/>
    <w:basedOn w:val="Normal"/>
    <w:next w:val="Normal"/>
    <w:qFormat/>
    <w:pPr>
      <w:keepNext/>
      <w:tabs>
        <w:tab w:val="left" w:pos="0"/>
      </w:tabs>
      <w:suppressAutoHyphens/>
      <w:spacing w:after="0" w:line="240" w:lineRule="auto"/>
      <w:ind w:left="1152" w:hanging="1152"/>
      <w:jc w:val="center"/>
      <w:outlineLvl w:val="5"/>
    </w:pPr>
    <w:rPr>
      <w:rFonts w:cs="Traditional Arabic"/>
      <w:sz w:val="36"/>
      <w:szCs w:val="43"/>
      <w:lang w:val="nl-NL" w:eastAsia="zh-CN" w:bidi="hi-IN"/>
    </w:rPr>
  </w:style>
  <w:style w:type="character" w:customStyle="1" w:styleId="Titre4Car">
    <w:name w:val="Titre 4 Car"/>
    <w:basedOn w:val="Policepardfaut"/>
    <w:link w:val="Titre4"/>
    <w:uiPriority w:val="9"/>
    <w:rPr>
      <w:rFonts w:asciiTheme="majorHAnsi" w:eastAsiaTheme="majorEastAsia" w:hAnsiTheme="majorHAnsi" w:cstheme="majorBidi"/>
      <w:i/>
      <w:iCs/>
      <w:color w:val="365F91" w:themeColor="accent1" w:themeShade="BF"/>
      <w:sz w:val="24"/>
      <w:szCs w:val="24"/>
      <w:lang w:eastAsia="fr-FR"/>
    </w:rPr>
  </w:style>
  <w:style w:type="character" w:customStyle="1" w:styleId="Mentionnonrsolue1">
    <w:name w:val="Mention non résolue1"/>
    <w:basedOn w:val="Policepardfau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trade.gov/market-intelligence/united-arab-emirates-allows-cross-border-data-flows-personal-data" TargetMode="External"/><Relationship Id="rId26" Type="http://schemas.openxmlformats.org/officeDocument/2006/relationships/hyperlink" Target="https://uaelegislation.gov.ae/en/legislations/1972" TargetMode="External"/><Relationship Id="rId3" Type="http://schemas.openxmlformats.org/officeDocument/2006/relationships/styles" Target="styles.xml"/><Relationship Id="rId21" Type="http://schemas.openxmlformats.org/officeDocument/2006/relationships/hyperlink" Target="https://www.cliffordchance.com/insights/resources/blogs/talking-tech/en/articles/2021/12/the-uae-data-protection-law-key-takeaways.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uaelegislation.gov.ae/" TargetMode="External"/><Relationship Id="rId25" Type="http://schemas.openxmlformats.org/officeDocument/2006/relationships/hyperlink" Target="https://www.uaelegislation.gov.ae/en/legislations/1609" TargetMode="External"/><Relationship Id="rId2" Type="http://schemas.openxmlformats.org/officeDocument/2006/relationships/numbering" Target="numbering.xml"/><Relationship Id="rId16" Type="http://schemas.openxmlformats.org/officeDocument/2006/relationships/hyperlink" Target="https://uaelegislation.gov.ae/" TargetMode="External"/><Relationship Id="rId20" Type="http://schemas.openxmlformats.org/officeDocument/2006/relationships/hyperlink" Target="https://advokeintl.com/pdp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aelegislation.gov.ae/" TargetMode="External"/><Relationship Id="rId24" Type="http://schemas.openxmlformats.org/officeDocument/2006/relationships/hyperlink" Target="https://uaelegislation.gov.ae/en/legislations/1539"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uaelegislation.gov.ae/en/legislations/1529"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cms-lawnow.com/en/ealerts/2022/01/uae-legal-reforms-new-uae-data-protection-la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uaelegislation.gov.ae/en/legislations/1526"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2680</Words>
  <Characters>14740</Characters>
  <Application>Microsoft Office Word</Application>
  <DocSecurity>0</DocSecurity>
  <Lines>122</Lines>
  <Paragraphs>34</Paragraphs>
  <ScaleCrop>false</ScaleCrop>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titre de votre projet</dc:title>
  <dc:creator>Licence</dc:creator>
  <cp:lastModifiedBy>RALVA</cp:lastModifiedBy>
  <cp:revision>1180</cp:revision>
  <cp:lastPrinted>2024-05-30T17:34:00Z</cp:lastPrinted>
  <dcterms:created xsi:type="dcterms:W3CDTF">2024-04-18T22:43:00Z</dcterms:created>
  <dcterms:modified xsi:type="dcterms:W3CDTF">2025-06-01T19:57:00Z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