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Yuan Gao</w:t>
      </w:r>
    </w:p>
    <w:p>
      <w:r>
        <w:t>Zhejiang Conservatory of Music, No. 1 Zheyin Road, Zhuantang Street, Xihu District, Hangzhou, Zhejiang Province, China 310024</w:t>
      </w:r>
    </w:p>
    <w:p>
      <w:r>
        <w:t>Corresponding author: selanceg@gmail.com</w:t>
      </w:r>
    </w:p>
    <w:p>
      <w:r>
        <w:t>ORCID: 0009-0005-0394-3623</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candidate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1.0.0-dev.14</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 (must be made public and tagged before submission)</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selanceg@gmail.com</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1.0.0-dev.14</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[RELEASE ASSET URL]</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selanceg@gmail.com</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 declares that there are no known competing financial interests or personal relationships that could have appeared to influence the work reported in this paper.</w:t>
      </w:r>
    </w:p>
    <w:p>
      <w:pPr>
        <w:pStyle w:val="Heading1"/>
      </w:pPr>
      <w:r>
        <w:t>Data and code availability</w:t>
      </w:r>
    </w:p>
    <w:p>
      <w:r>
        <w:t>Source code, synthetic benchmark data, test fixtures, evaluation configuration, and the non-formal verification run will be available from the tagged public repository and permanent archive listed in C2-C3. No API key is distributed.</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