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[SUPPORT EMAIL]</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candidate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 (must be made public and tagged before submission)</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[SUPPORT EMAIL]</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[RELEASE ASSET URL]</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[SUPPORT EMAIL]</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AUTHORS DECLARE NO KNOWN COMPETING INTERESTS, OR INSERT THE REQUIRED DISCLOSURE.]</w:t>
      </w:r>
    </w:p>
    <w:p>
      <w:pPr>
        <w:pStyle w:val="Heading1"/>
      </w:pPr>
      <w:r>
        <w:t>Data and code availability</w:t>
      </w:r>
    </w:p>
    <w:p>
      <w:r>
        <w:t>Source code, synthetic benchmark data, test fixtures, evaluation configuration, and the non-formal verification run will be available from the tagged public repository and permanent archive listed in C2-C3.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