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Reliable Language-Guided MusicXML Editing through Structured Score Patches</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is local-first research software for reliable language-guided editing of symbolic scores. Rather than asking a language model to rewrite an entire MusicXML document, it represents a request as a versioned ScorePatch bound to stable event identifiers, target and protected scopes, and a source fingerprint. Layered validators check schema, score structure, duration, notation relations, protected content, and MusicXML round-trip fidelity inside an atomic transaction. A desktop interface and MuseScore bridge expose proposals, diffs, rejection reasons, and undo without silently overwriting the host score. The release includes 20 synthetic scores, 120 editing tasks, three evaluation conditions, resumable experiment tooling, and offline fixtures for reproducible software verification.</w:t>
      </w:r>
    </w:p>
    <w:p>
      <w:r>
        <w:rPr>
          <w:b/>
        </w:rPr>
        <w:t>Keywords: MusicXML; symbolic music; score editing; structured patches; validation; research software</w:t>
      </w:r>
    </w:p>
    <w:p>
      <w:pPr>
        <w:pStyle w:val="Heading1"/>
      </w:pPr>
      <w:r>
        <w:t>1. Motivation and significance</w:t>
      </w:r>
    </w:p>
    <w:p>
      <w:r>
        <w:t>MusicXML is a widely used interchange representation for common Western music notation, allowing scores to move among notation, analysis, engraving, and archival systems [1]. Natural-language interfaces could reduce the mechanical cost of local edits such as transposition, dynamics, articulation, or voice assignment. However, the obvious implementation—send a complete MusicXML document to a generative model and accept a complete rewrite—mixes the intended change with thousands of unrelated elements. A syntactically well-formed response can still alter an unselected staff, break a tie, change measure duration, or drift from the source that the user reviewed.</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This separation is analogous to structured editing evaluations in programming-language research [6], but the invariants include exact musical time, voices, and notation relations. Citation and archival metadata follow established software-citation principles [7].</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Applying a patch is a transaction: validate the source fingerprint and schema; resolve selectors and preconditions; clone the score; apply operations; validate structure, exact measure duration, notation relations, semantic constraints, and protected scope; export/re-import MusicXML; then commit or roll back. The result includes machine-readable errors, a human-readable diff, fingerprints, and before/after snapshots for undo/redo. Deterministic repair is limited to transparent formatting or enum normalization. An optional model repair is bounded by a configurable attempt count and receives the validation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evaluation subsystem implements three conditions. full_rewrite accepts a complete MusicXML response without protected-scope repair. patch_only parses and basically applies a structured patch without the full safety pipeline. sera_full enables source fingerprints, scopes, layered validation, bounded repair/refusal, atomic apply, undo, and round-trip checks. Runs have immutable IDs, configuration and prompt hashes, retry and cost limits, caching, resumability, raw outputs, normalized outputs, and deterministic metric recomputation.</w:t>
      </w:r>
    </w:p>
    <w:p>
      <w:pPr>
        <w:pStyle w:val="Heading1"/>
      </w:pPr>
      <w:r>
        <w:t>3. Illustrative examples</w:t>
      </w:r>
    </w:p>
    <w:p>
      <w:r>
        <w:t>Consider the instruction: “Transpose measures 1–2 of staff 1 up two semitones and preserve rhythm; leave staff 2 unchanged.” SeraEdit binds the candidate to the imported fingerprint and resolves only pitched events in measures 1–2, staff 1. Preview applies the transposition to a clone. Duration equality is checked with rational values, staff 2 is compared event-by-event as protected content, and the exported MusicXML must parse, import, export, and parse again. A valid preview reports the exact changed event count; a stale fingerprint, missing event, duration change, or difference on staff 2 rejects and rolls back the whole patch.</w:t>
      </w:r>
    </w:p>
    <w:p>
      <w:r>
        <w:t>The same workflow is available through the desktop interface or an optional MuseScore Studio 4 bridge. The bridge exports a temporary snapshot and selection context to the local Sera process. After proposal review, the bridge opens a separate reviewed revision in MuseScore. This is deliberately not described as in-place control of MuseScore's internal document: the original open score is not overwritten, and final visual review and saving remain user actions.</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On Windows 11 (build 10.0.26200), Python 3.12.5, Node.js 24.16.0, and npm 11.13.0, the 2026-08-27 verification produced the following results. Automatic benchmark validation accepted 120/120 task definitions. Human inspection then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 The Python suite collected and passed 408 tests. Vitest passed 120 tests in 72 files, the Vite production build transformed 216 modules, and staged backend, compatibility launcher, and Electron desktop runtime smoke checks passed. The fresh softwarex_verification_120_v1 fixture run completed all 360 expected task-condition cases with zero execution errors. Its verifier confirmed matching configuration, benchmark, prompt, dependency and metric evidence.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independent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tasks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tbl>
      <w:tblPr>
        <w:tblStyle w:val="TableGrid"/>
        <w:tblW w:type="auto" w:w="0"/>
        <w:tblLook w:firstColumn="1" w:firstRow="1" w:lastColumn="0" w:lastRow="0" w:noHBand="0" w:noVBand="1" w:val="04A0"/>
      </w:tblPr>
      <w:tblGrid>
        <w:gridCol w:w="2324"/>
        <w:gridCol w:w="2324"/>
        <w:gridCol w:w="2324"/>
        <w:gridCol w:w="2324"/>
      </w:tblGrid>
      <w:tr>
        <w:tc>
          <w:tcPr>
            <w:tcW w:type="dxa" w:w="2324"/>
          </w:tcPr>
          <w:p>
            <w:r>
              <w:rPr>
                <w:rFonts w:ascii="Times New Roman" w:hAnsi="Times New Roman"/>
                <w:b/>
                <w:sz w:val="17"/>
              </w:rPr>
              <w:t>Evidence layer</w:t>
            </w:r>
          </w:p>
        </w:tc>
        <w:tc>
          <w:tcPr>
            <w:tcW w:type="dxa" w:w="2324"/>
          </w:tcPr>
          <w:p>
            <w:r>
              <w:rPr>
                <w:rFonts w:ascii="Times New Roman" w:hAnsi="Times New Roman"/>
                <w:b/>
                <w:sz w:val="17"/>
              </w:rPr>
              <w:t>Scale</w:t>
            </w:r>
          </w:p>
        </w:tc>
        <w:tc>
          <w:tcPr>
            <w:tcW w:type="dxa" w:w="2324"/>
          </w:tcPr>
          <w:p>
            <w:r>
              <w:rPr>
                <w:rFonts w:ascii="Times New Roman" w:hAnsi="Times New Roman"/>
                <w:b/>
                <w:sz w:val="17"/>
              </w:rPr>
              <w:t>Verified result</w:t>
            </w:r>
          </w:p>
        </w:tc>
        <w:tc>
          <w:tcPr>
            <w:tcW w:type="dxa" w:w="2324"/>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408 Python; 120 frontend</w:t>
            </w:r>
          </w:p>
        </w:tc>
        <w:tc>
          <w:tcPr>
            <w:tcW w:type="dxa" w:w="2324"/>
          </w:tcPr>
          <w:p>
            <w:r>
              <w:rPr>
                <w:rFonts w:ascii="Times New Roman" w:hAnsi="Times New Roman"/>
                <w:sz w:val="17"/>
              </w:rPr>
              <w:t>All passed</w:t>
            </w:r>
          </w:p>
        </w:tc>
        <w:tc>
          <w:tcPr>
            <w:tcW w:type="dxa" w:w="2324"/>
          </w:tcPr>
          <w:p>
            <w:r>
              <w:rPr>
                <w:rFonts w:ascii="Times New Roman" w:hAnsi="Times New Roman"/>
                <w:sz w:val="17"/>
              </w:rPr>
              <w:t>Software behavior on the tested environment</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The software also lowers the cost of building controlled symbolic-editing experiments. Researchers can add public-domain fixtures and task constraints without creating a new front end, provider wrapper, transaction engine, or reporting pipeline. The mock path supports continuous integration, classrooms, and reproducibility checks, while API-backed runs remain clearly separated. A local desktop and MusicXML bridge make the same research contracts inspectable by composers and notation users rather than only by programmers.</w:t>
      </w:r>
    </w:p>
    <w:p>
      <w:r>
        <w:t>Potential reuse extends beyond music: source fingerprinting, explicit editable/protected regions, typed operations, deterministic validators, and atomic rollback are applicable to language-guided editing of other structured scientific documents. Within music, the architecture provides a foundation for more rigorous human studies of interaction and musical quality without treating a model's output as ground truth.</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The open-source release candidate includes a desktop demonstration, host bridge, benchmark, three evaluation conditions, automated metrics, tests, and reproducibility tooling. Future releases will prioritize formal model comparisons, cross-host testing, richer exact notation relations, and independent blinded musician evaluation rather than weakening transaction safeguards.</w:t>
      </w:r>
    </w:p>
    <w:p>
      <w:pPr>
        <w:pStyle w:val="Heading1"/>
      </w:pPr>
      <w:r>
        <w:t>Code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Code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C1</w:t>
            </w:r>
          </w:p>
        </w:tc>
        <w:tc>
          <w:tcPr>
            <w:tcW w:type="dxa" w:w="3099"/>
          </w:tcPr>
          <w:p>
            <w:r>
              <w:rPr>
                <w:rFonts w:ascii="Times New Roman" w:hAnsi="Times New Roman"/>
                <w:sz w:val="17"/>
              </w:rPr>
              <w:t>Current code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C2</w:t>
            </w:r>
          </w:p>
        </w:tc>
        <w:tc>
          <w:tcPr>
            <w:tcW w:type="dxa" w:w="3099"/>
          </w:tcPr>
          <w:p>
            <w:r>
              <w:rPr>
                <w:rFonts w:ascii="Times New Roman" w:hAnsi="Times New Roman"/>
                <w:sz w:val="17"/>
              </w:rPr>
              <w:t>Permanent link to code/repository used for this code version</w:t>
            </w:r>
          </w:p>
        </w:tc>
        <w:tc>
          <w:tcPr>
            <w:tcW w:type="dxa" w:w="3099"/>
          </w:tcPr>
          <w:p>
            <w:r>
              <w:rPr>
                <w:rFonts w:ascii="Times New Roman" w:hAnsi="Times New Roman"/>
                <w:sz w:val="17"/>
              </w:rPr>
              <w:t>https://github.com/Selancee/Sera (must be made public and tagged before submission)</w:t>
            </w:r>
          </w:p>
        </w:tc>
      </w:tr>
      <w:tr>
        <w:tc>
          <w:tcPr>
            <w:tcW w:type="dxa" w:w="3099"/>
          </w:tcPr>
          <w:p>
            <w:r>
              <w:rPr>
                <w:rFonts w:ascii="Times New Roman" w:hAnsi="Times New Roman"/>
                <w:sz w:val="17"/>
              </w:rPr>
              <w:t>C3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C4</w:t>
            </w:r>
          </w:p>
        </w:tc>
        <w:tc>
          <w:tcPr>
            <w:tcW w:type="dxa" w:w="3099"/>
          </w:tcPr>
          <w:p>
            <w:r>
              <w:rPr>
                <w:rFonts w:ascii="Times New Roman" w:hAnsi="Times New Roman"/>
                <w:sz w:val="17"/>
              </w:rPr>
              <w:t>Legal code license</w:t>
            </w:r>
          </w:p>
        </w:tc>
        <w:tc>
          <w:tcPr>
            <w:tcW w:type="dxa" w:w="3099"/>
          </w:tcPr>
          <w:p>
            <w:r>
              <w:rPr>
                <w:rFonts w:ascii="Times New Roman" w:hAnsi="Times New Roman"/>
                <w:sz w:val="17"/>
              </w:rPr>
              <w:t>MIT; benchmark data CC0-1.0</w:t>
            </w:r>
          </w:p>
        </w:tc>
      </w:tr>
      <w:tr>
        <w:tc>
          <w:tcPr>
            <w:tcW w:type="dxa" w:w="3099"/>
          </w:tcPr>
          <w:p>
            <w:r>
              <w:rPr>
                <w:rFonts w:ascii="Times New Roman" w:hAnsi="Times New Roman"/>
                <w:sz w:val="17"/>
              </w:rPr>
              <w:t>C5</w:t>
            </w:r>
          </w:p>
        </w:tc>
        <w:tc>
          <w:tcPr>
            <w:tcW w:type="dxa" w:w="3099"/>
          </w:tcPr>
          <w:p>
            <w:r>
              <w:rPr>
                <w:rFonts w:ascii="Times New Roman" w:hAnsi="Times New Roman"/>
                <w:sz w:val="17"/>
              </w:rPr>
              <w:t>Code versioning system used</w:t>
            </w:r>
          </w:p>
        </w:tc>
        <w:tc>
          <w:tcPr>
            <w:tcW w:type="dxa" w:w="3099"/>
          </w:tcPr>
          <w:p>
            <w:r>
              <w:rPr>
                <w:rFonts w:ascii="Times New Roman" w:hAnsi="Times New Roman"/>
                <w:sz w:val="17"/>
              </w:rPr>
              <w:t>Git</w:t>
            </w:r>
          </w:p>
        </w:tc>
      </w:tr>
      <w:tr>
        <w:tc>
          <w:tcPr>
            <w:tcW w:type="dxa" w:w="3099"/>
          </w:tcPr>
          <w:p>
            <w:r>
              <w:rPr>
                <w:rFonts w:ascii="Times New Roman" w:hAnsi="Times New Roman"/>
                <w:sz w:val="17"/>
              </w:rPr>
              <w:t>C6</w:t>
            </w:r>
          </w:p>
        </w:tc>
        <w:tc>
          <w:tcPr>
            <w:tcW w:type="dxa" w:w="3099"/>
          </w:tcPr>
          <w:p>
            <w:r>
              <w:rPr>
                <w:rFonts w:ascii="Times New Roman" w:hAnsi="Times New Roman"/>
                <w:sz w:val="17"/>
              </w:rPr>
              <w:t>Software code languages, tools and services used</w:t>
            </w:r>
          </w:p>
        </w:tc>
        <w:tc>
          <w:tcPr>
            <w:tcW w:type="dxa" w:w="3099"/>
          </w:tcPr>
          <w:p>
            <w:r>
              <w:rPr>
                <w:rFonts w:ascii="Times New Roman" w:hAnsi="Times New Roman"/>
                <w:sz w:val="17"/>
              </w:rPr>
              <w:t>Python, TypeScript/JavaScript, React, FastAPI, Electron, QML, PowerShell, MusicXML</w:t>
            </w:r>
          </w:p>
        </w:tc>
      </w:tr>
      <w:tr>
        <w:tc>
          <w:tcPr>
            <w:tcW w:type="dxa" w:w="3099"/>
          </w:tcPr>
          <w:p>
            <w:r>
              <w:rPr>
                <w:rFonts w:ascii="Times New Roman" w:hAnsi="Times New Roman"/>
                <w:sz w:val="17"/>
              </w:rPr>
              <w:t>C7</w:t>
            </w:r>
          </w:p>
        </w:tc>
        <w:tc>
          <w:tcPr>
            <w:tcW w:type="dxa" w:w="3099"/>
          </w:tcPr>
          <w:p>
            <w:r>
              <w:rPr>
                <w:rFonts w:ascii="Times New Roman" w:hAnsi="Times New Roman"/>
                <w:sz w:val="17"/>
              </w:rPr>
              <w:t>Compilation requirements, operating environments and dependencies</w:t>
            </w:r>
          </w:p>
        </w:tc>
        <w:tc>
          <w:tcPr>
            <w:tcW w:type="dxa" w:w="3099"/>
          </w:tcPr>
          <w:p>
            <w:r>
              <w:rPr>
                <w:rFonts w:ascii="Times New Roman" w:hAnsi="Times New Roman"/>
                <w:sz w:val="17"/>
              </w:rPr>
              <w:t>Python &gt;=3.10; Node.js/npm for interface development; Windows 10/11 desktop; requirements, tested Windows constraints, and npm lock files</w:t>
            </w:r>
          </w:p>
        </w:tc>
      </w:tr>
      <w:tr>
        <w:tc>
          <w:tcPr>
            <w:tcW w:type="dxa" w:w="3099"/>
          </w:tcPr>
          <w:p>
            <w:r>
              <w:rPr>
                <w:rFonts w:ascii="Times New Roman" w:hAnsi="Times New Roman"/>
                <w:sz w:val="17"/>
              </w:rPr>
              <w:t>C8</w:t>
            </w:r>
          </w:p>
        </w:tc>
        <w:tc>
          <w:tcPr>
            <w:tcW w:type="dxa" w:w="3099"/>
          </w:tcPr>
          <w:p>
            <w:r>
              <w:rPr>
                <w:rFonts w:ascii="Times New Roman" w:hAnsi="Times New Roman"/>
                <w:sz w:val="17"/>
              </w:rPr>
              <w:t>Developer documentation/manual</w:t>
            </w:r>
          </w:p>
        </w:tc>
        <w:tc>
          <w:tcPr>
            <w:tcW w:type="dxa" w:w="3099"/>
          </w:tcPr>
          <w:p>
            <w:r>
              <w:rPr>
                <w:rFonts w:ascii="Times New Roman" w:hAnsi="Times New Roman"/>
                <w:sz w:val="17"/>
              </w:rPr>
              <w:t>docs/softwarex/API_REFERENCE.md, INSTALLATION.md, USER_MANUAL.md, REVIEWER_GUIDE.md, and generated OpenAPI /docs</w:t>
            </w:r>
          </w:p>
        </w:tc>
      </w:tr>
      <w:tr>
        <w:tc>
          <w:tcPr>
            <w:tcW w:type="dxa" w:w="3099"/>
          </w:tcPr>
          <w:p>
            <w:r>
              <w:rPr>
                <w:rFonts w:ascii="Times New Roman" w:hAnsi="Times New Roman"/>
                <w:sz w:val="17"/>
              </w:rPr>
              <w:t>C9</w:t>
            </w:r>
          </w:p>
        </w:tc>
        <w:tc>
          <w:tcPr>
            <w:tcW w:type="dxa" w:w="3099"/>
          </w:tcPr>
          <w:p>
            <w:r>
              <w:rPr>
                <w:rFonts w:ascii="Times New Roman" w:hAnsi="Times New Roman"/>
                <w:sz w:val="17"/>
              </w:rPr>
              <w:t>Support email for questions</w:t>
            </w:r>
          </w:p>
        </w:tc>
        <w:tc>
          <w:tcPr>
            <w:tcW w:type="dxa" w:w="3099"/>
          </w:tcPr>
          <w:p>
            <w:r>
              <w:rPr>
                <w:rFonts w:ascii="Times New Roman" w:hAnsi="Times New Roman"/>
                <w:sz w:val="17"/>
              </w:rPr>
              <w:t>selanceg@gmail.com</w:t>
            </w:r>
          </w:p>
        </w:tc>
      </w:tr>
    </w:tbl>
    <w:p>
      <w:pPr>
        <w:pStyle w:val="Heading1"/>
      </w:pPr>
      <w:r>
        <w:t>Software metadata</w:t>
      </w:r>
    </w:p>
    <w:tbl>
      <w:tblPr>
        <w:tblStyle w:val="TableGrid"/>
        <w:tblW w:type="auto" w:w="0"/>
        <w:tblLook w:firstColumn="1" w:firstRow="1" w:lastColumn="0" w:lastRow="0" w:noHBand="0" w:noVBand="1" w:val="04A0"/>
      </w:tblPr>
      <w:tblGrid>
        <w:gridCol w:w="3099"/>
        <w:gridCol w:w="3099"/>
        <w:gridCol w:w="3099"/>
      </w:tblGrid>
      <w:tr>
        <w:tc>
          <w:tcPr>
            <w:tcW w:type="dxa" w:w="3099"/>
          </w:tcPr>
          <w:p>
            <w:r>
              <w:rPr>
                <w:rFonts w:ascii="Times New Roman" w:hAnsi="Times New Roman"/>
                <w:b/>
                <w:sz w:val="17"/>
              </w:rPr>
              <w:t>Nr.</w:t>
            </w:r>
          </w:p>
        </w:tc>
        <w:tc>
          <w:tcPr>
            <w:tcW w:type="dxa" w:w="3099"/>
          </w:tcPr>
          <w:p>
            <w:r>
              <w:rPr>
                <w:rFonts w:ascii="Times New Roman" w:hAnsi="Times New Roman"/>
                <w:b/>
                <w:sz w:val="17"/>
              </w:rPr>
              <w:t>Software metadata description</w:t>
            </w:r>
          </w:p>
        </w:tc>
        <w:tc>
          <w:tcPr>
            <w:tcW w:type="dxa" w:w="3099"/>
          </w:tcPr>
          <w:p>
            <w:r>
              <w:rPr>
                <w:rFonts w:ascii="Times New Roman" w:hAnsi="Times New Roman"/>
                <w:b/>
                <w:sz w:val="17"/>
              </w:rPr>
              <w:t>Metadata</w:t>
            </w:r>
          </w:p>
        </w:tc>
      </w:tr>
      <w:tr>
        <w:tc>
          <w:tcPr>
            <w:tcW w:type="dxa" w:w="3099"/>
          </w:tcPr>
          <w:p>
            <w:r>
              <w:rPr>
                <w:rFonts w:ascii="Times New Roman" w:hAnsi="Times New Roman"/>
                <w:sz w:val="17"/>
              </w:rPr>
              <w:t>S1</w:t>
            </w:r>
          </w:p>
        </w:tc>
        <w:tc>
          <w:tcPr>
            <w:tcW w:type="dxa" w:w="3099"/>
          </w:tcPr>
          <w:p>
            <w:r>
              <w:rPr>
                <w:rFonts w:ascii="Times New Roman" w:hAnsi="Times New Roman"/>
                <w:sz w:val="17"/>
              </w:rPr>
              <w:t>Current executable software version</w:t>
            </w:r>
          </w:p>
        </w:tc>
        <w:tc>
          <w:tcPr>
            <w:tcW w:type="dxa" w:w="3099"/>
          </w:tcPr>
          <w:p>
            <w:r>
              <w:rPr>
                <w:rFonts w:ascii="Times New Roman" w:hAnsi="Times New Roman"/>
                <w:sz w:val="17"/>
              </w:rPr>
              <w:t>1.0.0</w:t>
            </w:r>
          </w:p>
        </w:tc>
      </w:tr>
      <w:tr>
        <w:tc>
          <w:tcPr>
            <w:tcW w:type="dxa" w:w="3099"/>
          </w:tcPr>
          <w:p>
            <w:r>
              <w:rPr>
                <w:rFonts w:ascii="Times New Roman" w:hAnsi="Times New Roman"/>
                <w:sz w:val="17"/>
              </w:rPr>
              <w:t>S2</w:t>
            </w:r>
          </w:p>
        </w:tc>
        <w:tc>
          <w:tcPr>
            <w:tcW w:type="dxa" w:w="3099"/>
          </w:tcPr>
          <w:p>
            <w:r>
              <w:rPr>
                <w:rFonts w:ascii="Times New Roman" w:hAnsi="Times New Roman"/>
                <w:sz w:val="17"/>
              </w:rPr>
              <w:t>Permanent link to executable</w:t>
            </w:r>
          </w:p>
        </w:tc>
        <w:tc>
          <w:tcPr>
            <w:tcW w:type="dxa" w:w="3099"/>
          </w:tcPr>
          <w:p>
            <w:r>
              <w:rPr>
                <w:rFonts w:ascii="Times New Roman" w:hAnsi="Times New Roman"/>
                <w:sz w:val="17"/>
              </w:rPr>
              <w:t>[RELEASE ASSET URL]</w:t>
            </w:r>
          </w:p>
        </w:tc>
      </w:tr>
      <w:tr>
        <w:tc>
          <w:tcPr>
            <w:tcW w:type="dxa" w:w="3099"/>
          </w:tcPr>
          <w:p>
            <w:r>
              <w:rPr>
                <w:rFonts w:ascii="Times New Roman" w:hAnsi="Times New Roman"/>
                <w:sz w:val="17"/>
              </w:rPr>
              <w:t>S3</w:t>
            </w:r>
          </w:p>
        </w:tc>
        <w:tc>
          <w:tcPr>
            <w:tcW w:type="dxa" w:w="3099"/>
          </w:tcPr>
          <w:p>
            <w:r>
              <w:rPr>
                <w:rFonts w:ascii="Times New Roman" w:hAnsi="Times New Roman"/>
                <w:sz w:val="17"/>
              </w:rPr>
              <w:t>Permanent link to reproducible capsule</w:t>
            </w:r>
          </w:p>
        </w:tc>
        <w:tc>
          <w:tcPr>
            <w:tcW w:type="dxa" w:w="3099"/>
          </w:tcPr>
          <w:p>
            <w:r>
              <w:rPr>
                <w:rFonts w:ascii="Times New Roman" w:hAnsi="Times New Roman"/>
                <w:sz w:val="17"/>
              </w:rPr>
              <w:t>[ZENODO OR CODE OCEAN DOI/URL]</w:t>
            </w:r>
          </w:p>
        </w:tc>
      </w:tr>
      <w:tr>
        <w:tc>
          <w:tcPr>
            <w:tcW w:type="dxa" w:w="3099"/>
          </w:tcPr>
          <w:p>
            <w:r>
              <w:rPr>
                <w:rFonts w:ascii="Times New Roman" w:hAnsi="Times New Roman"/>
                <w:sz w:val="17"/>
              </w:rPr>
              <w:t>S4</w:t>
            </w:r>
          </w:p>
        </w:tc>
        <w:tc>
          <w:tcPr>
            <w:tcW w:type="dxa" w:w="3099"/>
          </w:tcPr>
          <w:p>
            <w:r>
              <w:rPr>
                <w:rFonts w:ascii="Times New Roman" w:hAnsi="Times New Roman"/>
                <w:sz w:val="17"/>
              </w:rPr>
              <w:t>Legal software license</w:t>
            </w:r>
          </w:p>
        </w:tc>
        <w:tc>
          <w:tcPr>
            <w:tcW w:type="dxa" w:w="3099"/>
          </w:tcPr>
          <w:p>
            <w:r>
              <w:rPr>
                <w:rFonts w:ascii="Times New Roman" w:hAnsi="Times New Roman"/>
                <w:sz w:val="17"/>
              </w:rPr>
              <w:t>MIT</w:t>
            </w:r>
          </w:p>
        </w:tc>
      </w:tr>
      <w:tr>
        <w:tc>
          <w:tcPr>
            <w:tcW w:type="dxa" w:w="3099"/>
          </w:tcPr>
          <w:p>
            <w:r>
              <w:rPr>
                <w:rFonts w:ascii="Times New Roman" w:hAnsi="Times New Roman"/>
                <w:sz w:val="17"/>
              </w:rPr>
              <w:t>S5</w:t>
            </w:r>
          </w:p>
        </w:tc>
        <w:tc>
          <w:tcPr>
            <w:tcW w:type="dxa" w:w="3099"/>
          </w:tcPr>
          <w:p>
            <w:r>
              <w:rPr>
                <w:rFonts w:ascii="Times New Roman" w:hAnsi="Times New Roman"/>
                <w:sz w:val="17"/>
              </w:rPr>
              <w:t>Computing platforms/operating systems</w:t>
            </w:r>
          </w:p>
        </w:tc>
        <w:tc>
          <w:tcPr>
            <w:tcW w:type="dxa" w:w="3099"/>
          </w:tcPr>
          <w:p>
            <w:r>
              <w:rPr>
                <w:rFonts w:ascii="Times New Roman" w:hAnsi="Times New Roman"/>
                <w:sz w:val="17"/>
              </w:rPr>
              <w:t>Windows 10/11 x64; source-level core also uses Python &gt;=3.10</w:t>
            </w:r>
          </w:p>
        </w:tc>
      </w:tr>
      <w:tr>
        <w:tc>
          <w:tcPr>
            <w:tcW w:type="dxa" w:w="3099"/>
          </w:tcPr>
          <w:p>
            <w:r>
              <w:rPr>
                <w:rFonts w:ascii="Times New Roman" w:hAnsi="Times New Roman"/>
                <w:sz w:val="17"/>
              </w:rPr>
              <w:t>S6</w:t>
            </w:r>
          </w:p>
        </w:tc>
        <w:tc>
          <w:tcPr>
            <w:tcW w:type="dxa" w:w="3099"/>
          </w:tcPr>
          <w:p>
            <w:r>
              <w:rPr>
                <w:rFonts w:ascii="Times New Roman" w:hAnsi="Times New Roman"/>
                <w:sz w:val="17"/>
              </w:rPr>
              <w:t>Installation requirements and dependencies</w:t>
            </w:r>
          </w:p>
        </w:tc>
        <w:tc>
          <w:tcPr>
            <w:tcW w:type="dxa" w:w="3099"/>
          </w:tcPr>
          <w:p>
            <w:r>
              <w:rPr>
                <w:rFonts w:ascii="Times New Roman" w:hAnsi="Times New Roman"/>
                <w:sz w:val="17"/>
              </w:rPr>
              <w:t>See docs/softwarex/INSTALLATION.md</w:t>
            </w:r>
          </w:p>
        </w:tc>
      </w:tr>
      <w:tr>
        <w:tc>
          <w:tcPr>
            <w:tcW w:type="dxa" w:w="3099"/>
          </w:tcPr>
          <w:p>
            <w:r>
              <w:rPr>
                <w:rFonts w:ascii="Times New Roman" w:hAnsi="Times New Roman"/>
                <w:sz w:val="17"/>
              </w:rPr>
              <w:t>S7</w:t>
            </w:r>
          </w:p>
        </w:tc>
        <w:tc>
          <w:tcPr>
            <w:tcW w:type="dxa" w:w="3099"/>
          </w:tcPr>
          <w:p>
            <w:r>
              <w:rPr>
                <w:rFonts w:ascii="Times New Roman" w:hAnsi="Times New Roman"/>
                <w:sz w:val="17"/>
              </w:rPr>
              <w:t>User manual</w:t>
            </w:r>
          </w:p>
        </w:tc>
        <w:tc>
          <w:tcPr>
            <w:tcW w:type="dxa" w:w="3099"/>
          </w:tcPr>
          <w:p>
            <w:r>
              <w:rPr>
                <w:rFonts w:ascii="Times New Roman" w:hAnsi="Times New Roman"/>
                <w:sz w:val="17"/>
              </w:rPr>
              <w:t>docs/softwarex/USER_MANUAL.md</w:t>
            </w:r>
          </w:p>
        </w:tc>
      </w:tr>
      <w:tr>
        <w:tc>
          <w:tcPr>
            <w:tcW w:type="dxa" w:w="3099"/>
          </w:tcPr>
          <w:p>
            <w:r>
              <w:rPr>
                <w:rFonts w:ascii="Times New Roman" w:hAnsi="Times New Roman"/>
                <w:sz w:val="17"/>
              </w:rPr>
              <w:t>S8</w:t>
            </w:r>
          </w:p>
        </w:tc>
        <w:tc>
          <w:tcPr>
            <w:tcW w:type="dxa" w:w="3099"/>
          </w:tcPr>
          <w:p>
            <w:r>
              <w:rPr>
                <w:rFonts w:ascii="Times New Roman" w:hAnsi="Times New Roman"/>
                <w:sz w:val="17"/>
              </w:rPr>
              <w:t>Support email</w:t>
            </w:r>
          </w:p>
        </w:tc>
        <w:tc>
          <w:tcPr>
            <w:tcW w:type="dxa" w:w="3099"/>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will be available from the tagged public repository and permanent archive listed in C2-C3. No API key is distributed.</w:t>
      </w:r>
    </w:p>
    <w:p>
      <w:pPr>
        <w:pStyle w:val="Heading1"/>
      </w:pPr>
      <w:r>
        <w:t>References</w:t>
      </w:r>
    </w:p>
    <w:p>
      <w:r>
        <w:t>[1] M. Good (Ed.), MusicXML 4.0, W3C Music Notation Community Group Final Report, 2021. [2] M. S. Cuthbert, C. Ariza, music21: A toolkit for computer-aided musicology and symbolic music data, ISMIR, 2010, 637–642. [3] C. Raffel, D. P. W. Ellis, Intuitive analysis, creation and manipulation of MIDI data with pretty_midi, ISMIR Late-Breaking/Demo, 2014. [4] R. Yuan et al., ChatMusician: Understanding and generating music intrinsically with LLM, Findings of ACL, 2024. [5] Z. Zhou et al., Can LLMs “reason” in music? An evaluation of LLMs' capability of music understanding and generation, ISMIR, 2024. [6] J. Guo et al., CodeEditorBench: Evaluating code editing capability of large language models, arXiv:2404.03543, 2024. [7] A. M. Smith, D. S. Katz, K. E. Niemeyer, FORCE11 Software Citation Working Group, Software citation principles, PeerJ Computer Science 2 (2016) e86. https://doi.org/10.7717/peerj-cs.86.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SeraEdit: Reliable Language-Guided MusicXML Editing through Structured Score Patches</dc:title>
  <dc:subject>SoftwareX Original Software Publication draft</dc:subject>
  <dc:creator>python-docx</dc:creator>
  <cp:keywords>MusicXML, symbolic music, score editing, structured patches, validation, research software</cp:keywords>
  <dc:description>generated by python-docx</dc:description>
  <cp:lastModifiedBy/>
  <cp:revision>1</cp:revision>
  <dcterms:created xsi:type="dcterms:W3CDTF">2013-12-23T23:15:00Z</dcterms:created>
  <dcterms:modified xsi:type="dcterms:W3CDTF">2013-12-23T23:15:00Z</dcterms:modified>
  <cp:category/>
</cp:coreProperties>
</file>