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Response to reviewers — R1 working draft</w:t>
      </w:r>
    </w:p>
    <w:p>
      <w:r>
        <w:t>Manuscript number: SOFTX-D-26-01135</w:t>
      </w:r>
    </w:p>
    <w:p>
      <w:r>
        <w:t>Revised title: SeraEdit: Scoped and Validated Language-Guided MusicXML Editing</w:t>
      </w:r>
    </w:p>
    <w:p>
      <w:r>
        <w:t>Decision date: 1 October 2026</w:t>
      </w:r>
    </w:p>
    <w:p>
      <w:r>
        <w:t>Dear Editor and Reviewers,</w:t>
      </w:r>
    </w:p>
    <w:p>
      <w:r>
        <w:t>Thank you for reviewing our manuscript and inviting a minor revision.</w:t>
      </w:r>
    </w:p>
    <w:p>
      <w:r>
        <w:t>The following responses address completed local reproducibility and provenance corrections. They use working comment IDs because the author supplied the reports directly and platform reviewer numbering is not yet verified. The live-model comparison and validator-detection study are now complete locally; archival publication and the bridge visual check remain incomplete. Local P1 responses and acceptance status are recorded below.</w:t>
      </w:r>
    </w:p>
    <w:p>
      <w:pPr>
        <w:pStyle w:val="Heading1"/>
      </w:pPr>
      <w:r>
        <w:t>P0-REPRO / P0-SOURCE / P0-COUNT</w:t>
      </w:r>
    </w:p>
    <w:p>
      <w:r>
        <w:t>Comments: The released verifier fails benchmark/dependency/metric checks, six metric rows disagree, the clean-checkout test count differs, and the source archive omits required evaluation code.</w:t>
      </w:r>
    </w:p>
    <w:p>
      <w:r>
        <w:t>Response: We agree and reproduced these failures in the original v1.0.0 source. The published fixture was generated before changes to task definitions and dependency metadata. The dynamics task gained one constraint, while the meter task changed from three to nine constraints; the original meter outputs do not satisfy the revised task. This explains all six differing rows. We retain the original records and report this inconsistency explicitly rather than replacing their hashes or retroactively describing the old deposit as reproducible.</w:t>
      </w:r>
    </w:p>
    <w:p>
      <w:r>
        <w:t>We generated a separate offline revision fixture from the corrected, fixed inputs. All 360 executions completed without execution errors, independently recomputed metrics match all 360 saved rows, and all 13 integrity checks pass. New manifests record input and output file hashes; resumption rejects dependency or evidence drift. Git attributes and byte-preserving indexing keep benchmark and human-review evidence identical across checkout and source export. The isolated archive check also exposed and resolved missing evaluation, launcher, packaging and branding files.</w:t>
      </w:r>
    </w:p>
    <w:p>
      <w:r>
        <w:t>In a newly installed Windows 11 / Python 3.12.5 environment, the clean revision checkout and the independently extracted source ZIP each pass 438 tests with no failures or skips. The ZIP also passes the six-task offline reviewer demo and independent evidence verification. The original tag collected 411 tests in our environment and had one failure caused by ignored local data; we have corrected the manuscript's test-count statement accordingly. Full provenance, environments and artifact digests are recorded in the revision audit. After the live-protocol and validator additions, the final source candidate at ff82c74 passed all 445 tests in an independent extraction using the same documented Python 3.12.5 dependency environment. Its 4,299 file hashes, six-task demo, 13 fixture checks and 14 saved live-evidence checks also passed; the final receipt identifies this later checkpoint.</w:t>
      </w:r>
    </w:p>
    <w:p>
      <w:r>
        <w:t>The source ZIP tested here is a local revision candidate. Its publication metadata and final release links will be updated after the complete revision is ready; the original DOI continues to identify the original deposit. Hosted CI has been extended to check the actual source archive, but no new hosted run is claimed in this draft.</w:t>
      </w:r>
    </w:p>
    <w:p>
      <w:r>
        <w:t>Location: Section 3, rendered pages 5–6; the evidence table on page 7; docs/softwarex/REPRODUCIBILITY.md; P0_REPRODUCIBILITY_REPORT.md; P0_VALIDATION.json.</w:t>
      </w:r>
    </w:p>
    <w:p>
      <w:pPr>
        <w:pStyle w:val="Heading1"/>
      </w:pPr>
      <w:r>
        <w:t>P0-REGRESSION</w:t>
      </w:r>
    </w:p>
    <w:p>
      <w:r>
        <w:t>Comment: The 720/720 replay should be described as regression evidence if the generator was adjusted using the same benchmark instructions.</w:t>
      </w:r>
    </w:p>
    <w:p>
      <w:r>
        <w:t>Response: We agree. The Chinese preserve-pitch/tenuto correction followed inspection of results on these benchmark instructions. The generator therefore received development feedback from this benchmark. We now state this explicitly and describe the 720 runs as deterministic regression replay of 120 tasks with two language versions and three repetitions. Withholding Gold patches during generation does not make these tasks a held-out generalization set. We also changed the wider- selection count from “66 tasks” to “66 runs.”</w:t>
      </w:r>
    </w:p>
    <w:p>
      <w:r>
        <w:t>Location: Section 3; reproducibility protocol and reviewer guide.</w:t>
      </w:r>
    </w:p>
    <w:p>
      <w:pPr>
        <w:pStyle w:val="Heading1"/>
      </w:pPr>
      <w:r>
        <w:t>P0-LIVE</w:t>
      </w:r>
    </w:p>
    <w:p>
      <w:r>
        <w:t>Comment: The paper claims reliable language-guided editing but only demonstrates fixture/rule-based paths; the implemented three-condition comparison lacks real models.</w:t>
      </w:r>
    </w:p>
    <w:p>
      <w:r>
        <w:t>Response: We agree and added a real-provider demonstration using deepseek-flash on 2 October 2026: 120 tasks in each of Full Rewrite, Patch Only and Sera Full, 360 runs total. We freeze code, prompts, task inputs and scoring, retain all raw responses and repair requests, and reproduce all 360 metric rows offline with 14 integrity checks. The API reports an alias rather than an immutable model snapshot. Gold patches, scoring constraints and expected-answer labels are excluded from generation. Both patch conditions receive identical initial prompts/schema; only Sera Full has bounded repair. Two overlapping development pilots are retained, including a public assertion-contract clarification made before the main run.</w:t>
      </w:r>
    </w:p>
    <w:p>
      <w:r>
        <w:t>The results qualify the original motivation. Strict editing success, requiring task constraints, valid MusicXML, complete preservation and an actual non-refused output, was 72/110 (65.5%), 65/110 (59.1%) and 63/110 (57.3%), respectively. Measured non-target changes occurred in 17/105, 18/92 and 0/73 produced scores. All conditions correctly refused the 10 expected-refusal tasks, but Sera Full also refused 34 executable tasks. We therefore do not claim generally improved editing success from structured patches. The observed result is a protection/coverage tradeoff; withheld outputs count against completion. A paired source-cluster analysis and all failures are included.</w:t>
      </w:r>
    </w:p>
    <w:p>
      <w:r>
        <w:t>The abstract, results and limitations now make this qualification explicit. This is one model alias on a small development benchmark, not a held-out generalization evaluation or a musical-quality study. Same-initial-response replay also separates successful repair from refusal: correct outcomes improved from 62/120 to 73/120, while 25 repaired editing tasks ended in erroneous refusal.</w:t>
      </w:r>
    </w:p>
    <w:p>
      <w:r>
        <w:t>Location: Abstract, Sections 3.1 and 4, evidence table; DEEPSEEK_RESULTS.md, LIVE_EXPERIMENT_PROTOCOL.md and experiments/softwarex_deepseek_core_20261002_v1/. Rendered page 6, lines 27–44 and the results table; page 7, lines 1–16.</w:t>
      </w:r>
    </w:p>
    <w:p>
      <w:pPr>
        <w:pStyle w:val="Heading1"/>
      </w:pPr>
      <w:r>
        <w:t>P0-VALIDATORS</w:t>
      </w:r>
    </w:p>
    <w:p>
      <w:r>
        <w:t>Comment: The ability of validators to detect errors is asserted but never measured.</w:t>
      </w:r>
    </w:p>
    <w:p>
      <w:r>
        <w:t>Response: We added a constructed-error study on 20 existing synthetic scores, with 180 labeled mutations and 20 canonical-valid controls. The study preserves the input patches, detector reports, source hashes and rollback checks. It exposed an ignored dynamic_equals postcondition, which we corrected. After the correction, all 180 invalid patches were rejected and all rejected transactions returned the original fingerprint. The same-case post-fix test is regression evidence, and the pre-fix results remain available.</w:t>
      </w:r>
    </w:p>
    <w:p>
      <w:r>
        <w:t>The pipeline also rejected three of the 20 canonical-valid controls because grace-note dynamics changed during MusicXML round-trip. We report this 15% end-to-end rejection rate as an export/representation limitation; it is not an isolated validator false-positive estimate. We distinguish targeted semantic detection from rejection for an unrelated fault and do not infer real-model error prevalence or generalization from these constructed cases.</w:t>
      </w:r>
    </w:p>
    <w:p>
      <w:r>
        <w:t>Evidence: VALIDATOR_DETECTION_REPORT.md and experiments/softwarex_validator_detection_200_v1/. Manuscript Section 3.2 and the evidence table contain the results on rendered page 7, lines 17–30 and the table below.</w:t>
      </w:r>
    </w:p>
    <w:p>
      <w:pPr>
        <w:pStyle w:val="Heading1"/>
      </w:pPr>
      <w:r>
        <w:t>P1-CONTRIBUTION / P1-LITERATURE</w:t>
      </w:r>
    </w:p>
    <w:p>
      <w:r>
        <w:t>Comments: The novelty/impact positioning lacks the code-domain patch-and-test and instruction-editing lines, the closest symbolic-editing work and MuseScore. No external editing tool is used as a measured reference.</w:t>
      </w:r>
    </w:p>
    <w:p>
      <w:r>
        <w:t>Response: We narrowed the title and explicitly identify three software contributions: the source-bound scoped ScorePatch contract, an executable reversible validation workflow, and licensed tasks with reproducible comparison tooling. We cite SWE-bench (Jimenez et al.), Can It Edit? (Cassano et al.), Not that Groove (Zhang, 2025 version) and the official MuseScore plugin documentation. We do not claim to introduce instruction-driven symbolic editing or execution-based evaluation. The MusicXML-specific integration concerns stable event addresses, fingerprints, protected scopes, notation invariants and round-trip acceptance. We explicitly state that these references provide context; no measured performance ranking against external tools is claimed. The present evidence compares internal system conditions, with different task/representation contracts preventing a direct cross-paper ranking.</w:t>
      </w:r>
    </w:p>
    <w:p>
      <w:r>
        <w:t>The protection/completion tradeoff is now central to the Abstract and Sections 3–5. The infrastructure makes failed edits and rejection costs inspectable; it does not establish musical quality, universal safety, long-horizon agency or a superior model.</w:t>
      </w:r>
    </w:p>
    <w:p>
      <w:r>
        <w:t>Location: Revised title, Abstract, Sections 1 and 4–5; references [8–11]; LITERATURE_VERIFICATION.md. Primary records were checked on 3 October 2026.</w:t>
      </w:r>
    </w:p>
    <w:p>
      <w:pPr>
        <w:pStyle w:val="Heading1"/>
      </w:pPr>
      <w:r>
        <w:t>P1-PLATFORM</w:t>
      </w:r>
    </w:p>
    <w:p>
      <w:r>
        <w:t>Comments: Explain the Windows-only desktop/host boundary, provide POSIX source installation commands and exact Python/Node/npm environment versions.</w:t>
      </w:r>
    </w:p>
    <w:p>
      <w:r>
        <w:t>Response: Section 2.3 and the abstract distinguish Windows desktop/automatic host integration from the Python reviewer path. INSTALLATION.md now provides POSIX venv, installation, demo, benchmark and FastAPI commands, with manual MusicXML handoff. The reviewer reports macOS core execution; we have not independently revalidated macOS/Linux and do not claim their desktop or automated bridge support. Provider credentials can be supplied through environment variables rather than the Windows credential-store UI. C7 records Windows 11 build 10.0.26200, Python 3.12.5, Node.js 24.16.0 and npm 11.13.0. Local-first is defined explicitly; optional remote inference transmits score context. The tested MuseScore 4.5.2 path uses a saved file and CLI conversion; it does not export unsaved in-memory changes or implement host undo.</w:t>
      </w:r>
    </w:p>
    <w:p>
      <w:r>
        <w:t>Location: Abstract, Sections 2.3 and 3, code metadata entry C7, INSTALLATION.md, USER_MANUAL.md.</w:t>
      </w:r>
    </w:p>
    <w:p>
      <w:pPr>
        <w:pStyle w:val="Heading1"/>
      </w:pPr>
      <w:r>
        <w:t>P1-CONSISTENCY / P1-REQUIREMENTS</w:t>
      </w:r>
    </w:p>
    <w:p>
      <w:r>
        <w:t>Comments: Unify abstract/keywords, validator membership, condition names, runs/tasks units and declaration headings; update stale requirements and boundaries.</w:t>
      </w:r>
    </w:p>
    <w:p>
      <w:r>
        <w:t>Response: The R1 fill-in sheet takes the exact manuscript abstract and six keywords. Original August files remain immutable historical records. The eight checks are named once in Section 2.2; the abstract and cover letter refer to that contract without competing lists. The condition names Full Rewrite, Patch Only and Sera Full are mapped to code IDs and former labels. The host-scope result consistently reports 240 runs, 174 widened and 66 not widened. The declaration heading is “Declaration of competing interest” in the manuscript and separate statement. The requirements matrix now identifies the current draft, corrected fixture and real-provider evidence rather than treating the old failed artifact as passing.</w:t>
      </w:r>
    </w:p>
    <w:p>
      <w:r>
        <w:t>Location: R1 manuscript, submission/EDITORIAL_MANAGER_FILL_IN.md, submission/COVER_LETTER.md, submission/DECLARATION_OF_INTEREST.md, SOFTWAREX_REQUIREMENTS_MATRIX.md and REPRODUCIBILITY.md.</w:t>
      </w:r>
    </w:p>
    <w:p>
      <w:pPr>
        <w:pStyle w:val="Heading1"/>
      </w:pPr>
      <w:r>
        <w:t>P1-UI</w:t>
      </w:r>
    </w:p>
    <w:p>
      <w:r>
        <w:t>Comment: Add screenshots or a screencast showing the claimed interface, diffs, rejection reasons, undo and bridge operation.</w:t>
      </w:r>
    </w:p>
    <w:p>
      <w:r>
        <w:t>Response: Figures 2–3 are genuine local source-UI captures showing a valid proposal with element-change counts/protected-scope status and a rejected instruction with disabled apply. Additional captured states show an applied revision, an undo control and an undo revision. The screenshots use local rules and manual MusicXML import; they are not attributed to the real-model experiment or packaged Electron. UI_EVIDENCE.md records exact reproduction and the observed wording failure.</w:t>
      </w:r>
    </w:p>
    <w:p>
      <w:r>
        <w:t>Open item: The native MuseScore file-picker could not be reliably controlled, so the full plugin send/open-revision sequence is not visually verified here. Manual-import screenshots and automated bridge tests do not close this request. The bridge panel and opened revised score still need a genuine visual capture.</w:t>
      </w:r>
    </w:p>
    <w:p>
      <w:pPr>
        <w:pStyle w:val="Heading1"/>
      </w:pPr>
      <w:r>
        <w:t>P1-LICENSE / P1-PUBLICATION</w:t>
      </w:r>
    </w:p>
    <w:p>
      <w:r>
        <w:t>Comments: Add SPDX source identifiers, synchronize DOI metadata and rerun hosted CI.</w:t>
      </w:r>
    </w:p>
    <w:p>
      <w:r>
        <w:t>Response: The existing root MIT license and dependency notices are retained. SOURCE_LICENSE_INVENTORY.json gives a file-level SPDX-License-Identifier and SHA-256 for tracked first-party Python/JavaScript/TypeScript sources. We use this sidecar instead of adding comments to every frozen producer file: modifying those bytes would invalidate the recorded experiment implementation hashes. This is a reasoned alternative to the requested inline headers, not a claim that every source has a new header. Installed dependencies retain their own licenses and are excluded.</w:t>
      </w:r>
    </w:p>
    <w:p>
      <w:r>
        <w:t>publication.yml already identifies the original v1.0.0 version DOI. The revision explicitly distinguishes the original tag/deposit from the local corrected candidate; that DOI is not represented as containing new experiments. Local isolated-archive validation is recorded, while a new hosted CI run and revised public deposit remain publication gates. No hosted green result or public release is asserted for this branch.</w:t>
      </w:r>
    </w:p>
    <w:p>
      <w:pPr>
        <w:pStyle w:val="Heading1"/>
      </w:pPr>
      <w:r>
        <w:t>Remaining submission gates</w:t>
      </w:r>
    </w:p>
    <w:p>
      <w:pPr>
        <w:pStyle w:val="ListBullet"/>
      </w:pPr>
      <w:r>
        <w:t>Obtain genuine bridge send/open-revision visual evidence.</w:t>
      </w:r>
    </w:p>
    <w:p>
      <w:pPr>
        <w:pStyle w:val="ListBullet"/>
      </w:pPr>
      <w:r>
        <w:t>Publish the reviewed revision source/data and verify its hosted CI; insert the</w:t>
      </w:r>
    </w:p>
    <w:p>
      <w:r>
        <w:t>new immutable links without overwriting the original deposit.</w:t>
      </w:r>
    </w:p>
    <w:p>
      <w:pPr>
        <w:pStyle w:val="ListBullet"/>
      </w:pPr>
      <w:r>
        <w:t>Complete author review and the Editorial Manager assembled-PDF check. Platform</w:t>
      </w:r>
    </w:p>
    <w:p>
      <w:r>
        <w:t>reviewer numbering and originally uploaded files remain unverified.</w:t>
      </w:r>
    </w:p>
    <w:sectPr w:rsidR="00FC693F" w:rsidRPr="0006063C" w:rsidSect="00034616">
      <w:pgSz w:w="11906" w:h="16838"/>
      <w:pgMar w:top="1247" w:right="1304" w:bottom="1247" w:left="1304" w:header="720" w:footer="720" w:gutter="0"/>
      <w:cols w:space="720"/>
      <w:docGrid w:linePitch="360"/>
      <w:lnNumType w:countBy="1" w:restart="newPage"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removePersonalInformation/>
  <w:removeDateAndTim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vt="http://schemas.openxmlformats.org/officeDocument/2006/docPropsVTypes">
  <ns0:Template>Normal.dotm</ns0:Template>
  <ns0:Pages>1</ns0:Pages>
  <ns0:Words>0</ns0:Words>
  <ns0:Characters>0</ns0:Characters>
  <ns0:DocSecurity>0</ns0:DocSecurity>
  <ns0:Lines>0</ns0:Lines>
  <ns0:Paragraphs>0</ns0:Paragraphs>
  <ns0:ScaleCrop>false</ns0:ScaleCrop>
  <ns0:HeadingPairs>
    <vt:vector size="2" baseType="variant">
      <vt:variant>
        <vt:lpstr>Title</vt:lpstr>
      </vt:variant>
      <vt:variant>
        <vt:i4>1</vt:i4>
      </vt:variant>
    </vt:vector>
  </ns0:HeadingPairs>
  <ns0:TitlesOfParts>
    <vt:vector size="1" baseType="lpstr">
      <vt:lpstr/>
    </vt:vector>
  </ns0:TitlesOfParts>
  <ns0:LinksUpToDate>false</ns0:LinksUpToDate>
  <ns0:CharactersWithSpaces>0</ns0:CharactersWithSpaces>
  <ns0:SharedDoc>false</ns0:SharedDoc>
  <ns0:HyperlinkBase/>
  <ns0:HyperlinksChanged>false</ns0:HyperlinksChanged>
</ns0:Properties>
</file>

<file path=docProps/core.xml><?xml version="1.0" encoding="utf-8"?>
<cp:coreProperties xmlns:cp="http://schemas.openxmlformats.org/package/2006/metadata/core-properties" xmlns:dc="http://purl.org/dc/elements/1.1/">
  <dc:title>Response to reviewers — R1 working draft</dc:title>
  <dc:subject>SoftwareX Original Software Publication</dc:subject>
  <cp:keywords>MusicXML, symbolic music, score editing, structured patches, validation, research software</cp:keywords>
  <cp:revision>1</cp:revision>
  <cp:category/>
</cp:coreProperties>
</file>