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A06E59">
            <w:rPr>
              <w:rFonts w:ascii="Times New Roman" w:hAnsi="Times New Roman"/>
              <w:sz w:val="28"/>
              <w:szCs w:val="28"/>
              <w:lang w:val="hu-HU"/>
            </w:rPr>
            <w:t>4</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Pr>
              <w:rFonts w:ascii="Times New Roman" w:hAnsi="Times New Roman"/>
              <w:sz w:val="28"/>
              <w:szCs w:val="28"/>
              <w:lang w:val="hu-HU"/>
            </w:rPr>
            <w:t>8</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A06E59">
            <w:rPr>
              <w:rFonts w:ascii="Times New Roman" w:hAnsi="Times New Roman"/>
              <w:sz w:val="28"/>
              <w:szCs w:val="28"/>
              <w:lang w:val="hu-HU"/>
            </w:rPr>
            <w:t>3</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w:t>
          </w:r>
          <w:r w:rsidR="00A06E59">
            <w:rPr>
              <w:rFonts w:ascii="Times New Roman" w:hAnsi="Times New Roman"/>
              <w:sz w:val="28"/>
              <w:szCs w:val="28"/>
              <w:lang w:val="hu-HU"/>
            </w:rPr>
            <w:t>4</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A06E59" w:rsidRPr="00A06E59">
            <w:rPr>
              <w:rFonts w:ascii="Times New Roman" w:hAnsi="Times New Roman"/>
              <w:b/>
              <w:sz w:val="28"/>
              <w:szCs w:val="28"/>
              <w:lang w:val="hu-HU"/>
            </w:rPr>
            <w:t>15</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Pr>
              <w:rFonts w:ascii="Times New Roman" w:hAnsi="Times New Roman"/>
              <w:sz w:val="28"/>
              <w:szCs w:val="28"/>
              <w:lang w:val="hu-HU"/>
            </w:rPr>
            <w:t>15</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265DFA">
            <w:rPr>
              <w:rFonts w:ascii="Times New Roman" w:hAnsi="Times New Roman"/>
              <w:sz w:val="28"/>
              <w:szCs w:val="28"/>
              <w:lang w:val="hu-HU"/>
            </w:rPr>
            <w:t>17</w:t>
          </w:r>
        </w:p>
        <w:p w:rsidR="00E750B3" w:rsidRPr="00BC1D26" w:rsidRDefault="005877F8" w:rsidP="003E6E77"/>
      </w:sdtContent>
    </w:sdt>
    <w:p w:rsidR="006A50E7" w:rsidRDefault="006A50E7" w:rsidP="00E750B3">
      <w:pPr>
        <w:rPr>
          <w:rFonts w:ascii="Times New Roman" w:hAnsi="Times New Roman" w:cs="Times New Roman"/>
          <w:b/>
          <w:smallCaps/>
          <w:sz w:val="24"/>
          <w:szCs w:val="24"/>
        </w:rPr>
      </w:pPr>
    </w:p>
    <w:p w:rsidR="00ED412E"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1.2</w:t>
      </w:r>
      <w:r w:rsidR="00ED412E">
        <w:rPr>
          <w:rFonts w:ascii="Times New Roman" w:hAnsi="Times New Roman" w:cstheme="minorHAnsi"/>
          <w:sz w:val="24"/>
          <w:szCs w:val="24"/>
        </w:rPr>
        <w:t xml:space="preserve">-es fejezet: belső anyag 2.2. </w:t>
      </w:r>
      <w:r w:rsidR="00ED412E" w:rsidRPr="00ED412E">
        <w:rPr>
          <w:rFonts w:ascii="Times New Roman" w:hAnsi="Times New Roman" w:cstheme="minorHAnsi"/>
          <w:sz w:val="24"/>
          <w:szCs w:val="24"/>
        </w:rPr>
        <w:sym w:font="Wingdings" w:char="F0E0"/>
      </w:r>
      <w:r w:rsidR="00ED412E">
        <w:rPr>
          <w:rFonts w:ascii="Times New Roman" w:hAnsi="Times New Roman" w:cstheme="minorHAnsi"/>
          <w:sz w:val="24"/>
          <w:szCs w:val="24"/>
        </w:rPr>
        <w:t xml:space="preserve"> 2.2.1.3.</w:t>
      </w:r>
    </w:p>
    <w:p w:rsidR="000818AA"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r w:rsidR="000818AA">
        <w:rPr>
          <w:rFonts w:ascii="Times New Roman" w:hAnsi="Times New Roman" w:cstheme="minorHAnsi"/>
          <w:sz w:val="24"/>
          <w:szCs w:val="24"/>
        </w:rPr>
        <w:t xml:space="preserve">.2-es fejezet: </w:t>
      </w:r>
      <w:r w:rsidR="000818AA"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w:t>
      </w:r>
      <w:r w:rsidR="00ED412E">
        <w:rPr>
          <w:rFonts w:ascii="Times New Roman" w:hAnsi="Times New Roman" w:cstheme="minorHAnsi"/>
          <w:sz w:val="24"/>
          <w:szCs w:val="24"/>
        </w:rPr>
        <w:t xml:space="preserve"> 2.3.6. fejezet</w:t>
      </w:r>
    </w:p>
    <w:p w:rsidR="004173C6" w:rsidRPr="000818AA" w:rsidRDefault="004173C6"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proofErr w:type="gramStart"/>
      <w:r>
        <w:rPr>
          <w:rFonts w:ascii="Times New Roman" w:hAnsi="Times New Roman" w:cstheme="minorHAnsi"/>
          <w:sz w:val="24"/>
          <w:szCs w:val="24"/>
        </w:rPr>
        <w:t>.ponthoz</w:t>
      </w:r>
      <w:proofErr w:type="gramEnd"/>
      <w:r>
        <w:rPr>
          <w:rFonts w:ascii="Times New Roman" w:hAnsi="Times New Roman" w:cstheme="minorHAnsi"/>
          <w:sz w:val="24"/>
          <w:szCs w:val="24"/>
        </w:rPr>
        <w:t xml:space="preserve"> 3.4, és 2.2.2</w:t>
      </w:r>
      <w:r w:rsidR="00B4536F">
        <w:rPr>
          <w:rFonts w:ascii="Times New Roman" w:hAnsi="Times New Roman" w:cstheme="minorHAnsi"/>
          <w:sz w:val="24"/>
          <w:szCs w:val="24"/>
        </w:rPr>
        <w:t xml:space="preserve"> (Eltérő adatbázisokból áttenni)</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6A50E7" w:rsidRDefault="00974843" w:rsidP="00974843">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974843" w:rsidRPr="00396216"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xml:space="preserve">: az év végére 87 ügyfél vette igénybe egyablakos kiszolgálással, online módon a szolgáltatást. A BISZ </w:t>
      </w:r>
      <w:proofErr w:type="spellStart"/>
      <w:r w:rsidRPr="00E228A3">
        <w:rPr>
          <w:rFonts w:ascii="Times New Roman" w:hAnsi="Times New Roman" w:cs="Times New Roman"/>
          <w:sz w:val="24"/>
          <w:szCs w:val="24"/>
        </w:rPr>
        <w:t>Zrt</w:t>
      </w:r>
      <w:proofErr w:type="spellEnd"/>
      <w:r w:rsidRPr="00E228A3">
        <w:rPr>
          <w:rFonts w:ascii="Times New Roman" w:hAnsi="Times New Roman" w:cs="Times New Roman"/>
          <w:sz w:val="24"/>
          <w:szCs w:val="24"/>
        </w:rPr>
        <w: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w:t>
      </w:r>
      <w:r>
        <w:rPr>
          <w:rFonts w:ascii="Times New Roman" w:hAnsi="Times New Roman" w:cs="Times New Roman"/>
          <w:sz w:val="24"/>
          <w:szCs w:val="24"/>
        </w:rPr>
        <w:lastRenderedPageBreak/>
        <w:t xml:space="preserve">Szolgáltatás teljesen független a GIRO Zrt alaptevékenységétől. A szolgáltatásra üzleti 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Default="00974843" w:rsidP="00974843">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A fejlesztések eredményei</w:t>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 xml:space="preserve">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Zrt.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974843" w:rsidRDefault="00974843" w:rsidP="00974843">
      <w:pPr>
        <w:spacing w:after="0" w:line="360" w:lineRule="auto"/>
        <w:jc w:val="center"/>
        <w:rPr>
          <w:rFonts w:ascii="Times New Roman" w:hAnsi="Times New Roman" w:cs="Times New Roman"/>
          <w:sz w:val="24"/>
          <w:szCs w:val="24"/>
        </w:rPr>
      </w:pPr>
    </w:p>
    <w:p w:rsidR="00974843" w:rsidRPr="00C0327D" w:rsidRDefault="00974843" w:rsidP="00974843">
      <w:pPr>
        <w:spacing w:after="0" w:line="360" w:lineRule="auto"/>
        <w:rPr>
          <w:rFonts w:ascii="Times New Roman" w:hAnsi="Times New Roman" w:cs="Times New Roman"/>
          <w:sz w:val="24"/>
          <w:szCs w:val="24"/>
        </w:rPr>
      </w:pPr>
    </w:p>
    <w:p w:rsidR="00974843" w:rsidRDefault="00974843" w:rsidP="00974843">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C8578C" w:rsidRDefault="00C8578C">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974843" w:rsidRDefault="00974843" w:rsidP="00974843">
      <w:pPr>
        <w:pStyle w:val="Listaszerbekezds"/>
        <w:numPr>
          <w:ilvl w:val="1"/>
          <w:numId w:val="5"/>
        </w:numPr>
        <w:ind w:hanging="218"/>
        <w:rPr>
          <w:rFonts w:ascii="Times New Roman" w:hAnsi="Times New Roman" w:cs="Times New Roman"/>
          <w:b/>
          <w:smallCaps/>
          <w:sz w:val="24"/>
          <w:szCs w:val="24"/>
        </w:rPr>
      </w:pPr>
      <w:proofErr w:type="spellStart"/>
      <w:r>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974843">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974843">
      <w:pPr>
        <w:pStyle w:val="Listaszerbekezds"/>
        <w:numPr>
          <w:ilvl w:val="1"/>
          <w:numId w:val="5"/>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974843">
      <w:pPr>
        <w:pStyle w:val="Listaszerbekezds"/>
        <w:numPr>
          <w:ilvl w:val="1"/>
          <w:numId w:val="5"/>
        </w:numPr>
        <w:spacing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w:t>
      </w:r>
      <w:r>
        <w:rPr>
          <w:rFonts w:ascii="Times New Roman" w:hAnsi="Times New Roman" w:cs="Times New Roman"/>
          <w:noProof/>
          <w:sz w:val="24"/>
          <w:szCs w:val="24"/>
          <w:lang w:eastAsia="hu-HU"/>
        </w:rPr>
        <w:lastRenderedPageBreak/>
        <w:t xml:space="preserve">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Default="00974843" w:rsidP="00974843">
      <w:pPr>
        <w:spacing w:after="0" w:line="360" w:lineRule="auto"/>
        <w:jc w:val="both"/>
        <w:rPr>
          <w:rFonts w:ascii="Times New Roman" w:hAnsi="Times New Roman" w:cs="Times New Roman"/>
          <w:noProof/>
          <w:sz w:val="24"/>
          <w:szCs w:val="24"/>
          <w:lang w:eastAsia="hu-HU"/>
        </w:rPr>
      </w:pPr>
    </w:p>
    <w:p w:rsidR="00974843" w:rsidRPr="00430D69"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lastRenderedPageBreak/>
        <w:t xml:space="preserve">Lakcím lekérdezés személyi adatok alapján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t xml:space="preserve">Arckép és aláírás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974843" w:rsidRPr="00E80CD7" w:rsidRDefault="00974843" w:rsidP="00974843">
      <w:pPr>
        <w:spacing w:after="0" w:line="360" w:lineRule="auto"/>
        <w:jc w:val="both"/>
        <w:rPr>
          <w:rFonts w:ascii="Times New Roman" w:hAnsi="Times New Roman" w:cs="Times New Roman"/>
          <w:noProof/>
          <w:sz w:val="24"/>
          <w:szCs w:val="24"/>
          <w:lang w:eastAsia="hu-HU"/>
        </w:rPr>
      </w:pP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(teljes 3.3. fejezet)</w:t>
      </w:r>
    </w:p>
    <w:p w:rsidR="00E91107"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w:t>
      </w:r>
      <w:r w:rsidR="00693762">
        <w:rPr>
          <w:rFonts w:ascii="Times New Roman" w:hAnsi="Times New Roman" w:cstheme="minorHAnsi"/>
          <w:sz w:val="24"/>
          <w:szCs w:val="24"/>
        </w:rPr>
        <w:lastRenderedPageBreak/>
        <w:t xml:space="preserve">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w:t>
      </w:r>
      <w:r w:rsidR="00E91107">
        <w:rPr>
          <w:rFonts w:ascii="Times New Roman" w:hAnsi="Times New Roman" w:cs="Times New Roman"/>
          <w:b/>
          <w:noProof/>
          <w:sz w:val="24"/>
          <w:szCs w:val="24"/>
          <w:lang w:eastAsia="hu-HU"/>
        </w:rPr>
        <w:drawing>
          <wp:anchor distT="0" distB="0" distL="114300" distR="114300" simplePos="0" relativeHeight="251662336" behindDoc="0" locked="0" layoutInCell="1" allowOverlap="1">
            <wp:simplePos x="0" y="0"/>
            <wp:positionH relativeFrom="margin">
              <wp:align>left</wp:align>
            </wp:positionH>
            <wp:positionV relativeFrom="paragraph">
              <wp:posOffset>3415030</wp:posOffset>
            </wp:positionV>
            <wp:extent cx="445770" cy="451485"/>
            <wp:effectExtent l="0" t="0" r="0"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2">
                      <a:extLst>
                        <a:ext uri="{28A0092B-C50C-407E-A947-70E740481C1C}">
                          <a14:useLocalDpi xmlns:a14="http://schemas.microsoft.com/office/drawing/2010/main" val="0"/>
                        </a:ext>
                      </a:extLst>
                    </a:blip>
                    <a:stretch>
                      <a:fillRect/>
                    </a:stretch>
                  </pic:blipFill>
                  <pic:spPr>
                    <a:xfrm>
                      <a:off x="0" y="0"/>
                      <a:ext cx="445770" cy="451485"/>
                    </a:xfrm>
                    <a:prstGeom prst="rect">
                      <a:avLst/>
                    </a:prstGeom>
                  </pic:spPr>
                </pic:pic>
              </a:graphicData>
            </a:graphic>
          </wp:anchor>
        </w:drawing>
      </w:r>
      <w:r w:rsidR="00E91107">
        <w:rPr>
          <w:rFonts w:ascii="Times New Roman" w:hAnsi="Times New Roman" w:cstheme="minorHAnsi"/>
          <w:sz w:val="24"/>
          <w:szCs w:val="24"/>
        </w:rPr>
        <w:t xml:space="preserve">jobbra haladva tartalmazza az alábbi három ikont: </w:t>
      </w: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p w:rsidR="00E91107" w:rsidRDefault="00E91107" w:rsidP="00562300">
      <w:pPr>
        <w:spacing w:after="0" w:line="360" w:lineRule="auto"/>
        <w:jc w:val="both"/>
        <w:rPr>
          <w:rFonts w:ascii="Times New Roman" w:hAnsi="Times New Roman" w:cstheme="minorHAnsi"/>
          <w:sz w:val="24"/>
          <w:szCs w:val="24"/>
        </w:rPr>
      </w:pP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3360" behindDoc="0" locked="0" layoutInCell="1" allowOverlap="1">
            <wp:simplePos x="0" y="0"/>
            <wp:positionH relativeFrom="margin">
              <wp:align>left</wp:align>
            </wp:positionH>
            <wp:positionV relativeFrom="paragraph">
              <wp:posOffset>28575</wp:posOffset>
            </wp:positionV>
            <wp:extent cx="462915" cy="408940"/>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heme="minorHAnsi"/>
          <w:sz w:val="24"/>
          <w:szCs w:val="24"/>
        </w:rPr>
        <w:t>Kezelői kézikönyv letöltése: Itt érhető el a kezelői kézikönyv elektronikus változata.</w:t>
      </w:r>
    </w:p>
    <w:p w:rsidR="00ED5149" w:rsidRDefault="00E91107" w:rsidP="00ED5149">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4384" behindDoc="0" locked="0" layoutInCell="1" allowOverlap="1">
            <wp:simplePos x="0" y="0"/>
            <wp:positionH relativeFrom="margin">
              <wp:align>left</wp:align>
            </wp:positionH>
            <wp:positionV relativeFrom="paragraph">
              <wp:posOffset>80569</wp:posOffset>
            </wp:positionV>
            <wp:extent cx="632460" cy="54102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4">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w:t>
      </w:r>
      <w:proofErr w:type="spellStart"/>
      <w:r w:rsidR="007704A8">
        <w:rPr>
          <w:rFonts w:ascii="Times New Roman" w:hAnsi="Times New Roman" w:cstheme="minorHAnsi"/>
          <w:sz w:val="24"/>
          <w:szCs w:val="24"/>
        </w:rPr>
        <w:t>Szűrőmezők</w:t>
      </w:r>
      <w:proofErr w:type="spellEnd"/>
      <w:r w:rsidR="007704A8">
        <w:rPr>
          <w:rFonts w:ascii="Times New Roman" w:hAnsi="Times New Roman" w:cstheme="minorHAnsi"/>
          <w:sz w:val="24"/>
          <w:szCs w:val="24"/>
        </w:rPr>
        <w:t xml:space="preserve">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w:t>
      </w:r>
      <w:r w:rsidR="005A7F69">
        <w:rPr>
          <w:rFonts w:ascii="Times New Roman" w:hAnsi="Times New Roman" w:cstheme="minorHAnsi"/>
          <w:sz w:val="24"/>
          <w:szCs w:val="24"/>
        </w:rPr>
        <w:lastRenderedPageBreak/>
        <w:t xml:space="preserve">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w:t>
      </w:r>
      <w:r w:rsidR="007244DC">
        <w:rPr>
          <w:rFonts w:ascii="Times New Roman" w:hAnsi="Times New Roman" w:cs="Times New Roman"/>
          <w:sz w:val="24"/>
          <w:szCs w:val="24"/>
        </w:rPr>
        <w:t>, a Mezők törlése a beviteli</w:t>
      </w:r>
      <w:r w:rsidR="00C75EAF">
        <w:rPr>
          <w:rFonts w:ascii="Times New Roman" w:hAnsi="Times New Roman" w:cs="Times New Roman"/>
          <w:sz w:val="24"/>
          <w:szCs w:val="24"/>
        </w:rPr>
        <w:t xml:space="preserve"> mezőket alaphelyzetbe állítja, míg a </w:t>
      </w:r>
      <w:proofErr w:type="gramStart"/>
      <w:r w:rsidR="00C75EAF">
        <w:rPr>
          <w:rFonts w:ascii="Times New Roman" w:hAnsi="Times New Roman" w:cs="Times New Roman"/>
          <w:sz w:val="24"/>
          <w:szCs w:val="24"/>
        </w:rPr>
        <w:t>Bezár</w:t>
      </w:r>
      <w:proofErr w:type="gramEnd"/>
      <w:r w:rsidR="00C75EAF">
        <w:rPr>
          <w:rFonts w:ascii="Times New Roman" w:hAnsi="Times New Roman" w:cs="Times New Roman"/>
          <w:sz w:val="24"/>
          <w:szCs w:val="24"/>
        </w:rPr>
        <w:t xml:space="preserve"> pedig értelemszerűen bezárja a keresőképernyőt. </w:t>
      </w:r>
    </w:p>
    <w:p w:rsidR="006C63BA" w:rsidRDefault="006C63BA" w:rsidP="00F0544E">
      <w:pPr>
        <w:spacing w:before="240"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63BA" w:rsidRDefault="006C63BA" w:rsidP="00E34C60">
      <w:pPr>
        <w:spacing w:after="0" w:line="360" w:lineRule="auto"/>
        <w:jc w:val="both"/>
        <w:rPr>
          <w:rFonts w:ascii="Times New Roman" w:hAnsi="Times New Roman" w:cstheme="minorHAnsi"/>
          <w:sz w:val="24"/>
          <w:szCs w:val="24"/>
        </w:rPr>
      </w:pPr>
      <w:bookmarkStart w:id="0" w:name="_GoBack"/>
      <w:bookmarkEnd w:id="0"/>
    </w:p>
    <w:p w:rsidR="00B839D7" w:rsidRDefault="00B839D7" w:rsidP="00F0544E">
      <w:pPr>
        <w:spacing w:before="240" w:after="0" w:line="360" w:lineRule="auto"/>
        <w:jc w:val="both"/>
        <w:rPr>
          <w:rFonts w:ascii="Times New Roman" w:hAnsi="Times New Roman" w:cstheme="minorHAnsi"/>
          <w:sz w:val="24"/>
          <w:szCs w:val="24"/>
        </w:rPr>
      </w:pPr>
    </w:p>
    <w:p w:rsidR="00974843" w:rsidRPr="00ED5149" w:rsidRDefault="00974843" w:rsidP="00F0544E">
      <w:pPr>
        <w:spacing w:before="240" w:after="0" w:line="360" w:lineRule="auto"/>
        <w:jc w:val="both"/>
        <w:rPr>
          <w:rFonts w:ascii="Times New Roman" w:hAnsi="Times New Roman" w:cstheme="minorHAnsi"/>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2.1-es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Pr>
          <w:rFonts w:ascii="Times New Roman" w:hAnsi="Times New Roman" w:cstheme="minorHAnsi"/>
          <w:sz w:val="24"/>
          <w:szCs w:val="24"/>
        </w:rPr>
        <w:t>dátumnál</w:t>
      </w:r>
      <w:proofErr w:type="gramEnd"/>
      <w:r>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974843" w:rsidRPr="00817CE9"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Kapcsolódó szolgáltatások ismertetése </w:t>
      </w:r>
      <w:r w:rsidR="00933CC8">
        <w:rPr>
          <w:rFonts w:ascii="Times New Roman" w:hAnsi="Times New Roman" w:cstheme="minorHAnsi"/>
          <w:b/>
          <w:smallCaps/>
          <w:sz w:val="24"/>
          <w:szCs w:val="24"/>
        </w:rPr>
        <w:t>(2.2.2. és 3.4.)</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974843">
      <w:pPr>
        <w:spacing w:before="240" w:line="360" w:lineRule="auto"/>
        <w:jc w:val="both"/>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974843" w:rsidRPr="00974843" w:rsidRDefault="00974843" w:rsidP="00095DB6">
      <w:pPr>
        <w:spacing w:after="0" w:line="360" w:lineRule="auto"/>
        <w:jc w:val="both"/>
        <w:rPr>
          <w:rFonts w:ascii="Times New Roman" w:hAnsi="Times New Roman" w:cstheme="minorHAnsi"/>
          <w:color w:val="FF0000"/>
          <w:sz w:val="24"/>
          <w:szCs w:val="24"/>
        </w:rPr>
      </w:pPr>
      <w:r w:rsidRPr="00974843">
        <w:rPr>
          <w:rFonts w:ascii="Times New Roman" w:hAnsi="Times New Roman" w:cstheme="minorHAnsi"/>
          <w:color w:val="FF0000"/>
          <w:sz w:val="24"/>
          <w:szCs w:val="24"/>
        </w:rPr>
        <w:t xml:space="preserve">A maximális adatbiztonság érdekében </w:t>
      </w:r>
      <w:r>
        <w:rPr>
          <w:rFonts w:ascii="Times New Roman" w:hAnsi="Times New Roman" w:cstheme="minorHAnsi"/>
          <w:color w:val="FF0000"/>
          <w:sz w:val="24"/>
          <w:szCs w:val="24"/>
        </w:rPr>
        <w:t xml:space="preserve">minden lekérdezés digitálisan aláírásra kerül a felhasználó kulcsával. A lekérdezés elküldése, illetve az előkészítésre mentés előtt a </w:t>
      </w:r>
      <w:r>
        <w:rPr>
          <w:rFonts w:ascii="Times New Roman" w:hAnsi="Times New Roman" w:cstheme="minorHAnsi"/>
          <w:color w:val="FF0000"/>
          <w:sz w:val="24"/>
          <w:szCs w:val="24"/>
        </w:rPr>
        <w:lastRenderedPageBreak/>
        <w:t xml:space="preserve">rendszer bejelentkezésként egyszer bekéri az adott felhasználó PIN-kódját az alábbi ablakban.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3029373" cy="1819529"/>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17">
                      <a:extLst>
                        <a:ext uri="{28A0092B-C50C-407E-A947-70E740481C1C}">
                          <a14:useLocalDpi xmlns:a14="http://schemas.microsoft.com/office/drawing/2010/main" val="0"/>
                        </a:ext>
                      </a:extLst>
                    </a:blip>
                    <a:stretch>
                      <a:fillRect/>
                    </a:stretch>
                  </pic:blipFill>
                  <pic:spPr>
                    <a:xfrm>
                      <a:off x="0" y="0"/>
                      <a:ext cx="3029373" cy="1819529"/>
                    </a:xfrm>
                    <a:prstGeom prst="rect">
                      <a:avLst/>
                    </a:prstGeom>
                  </pic:spPr>
                </pic:pic>
              </a:graphicData>
            </a:graphic>
          </wp:inline>
        </w:drawing>
      </w:r>
    </w:p>
    <w:p w:rsidR="0000191A" w:rsidRDefault="0000191A" w:rsidP="00095DB6">
      <w:pPr>
        <w:spacing w:line="360" w:lineRule="auto"/>
        <w:jc w:val="both"/>
        <w:rPr>
          <w:rFonts w:ascii="Times New Roman" w:hAnsi="Times New Roman" w:cstheme="minorHAnsi"/>
          <w:color w:val="FF0000"/>
          <w:sz w:val="24"/>
          <w:szCs w:val="24"/>
        </w:rPr>
      </w:pPr>
      <w:r w:rsidRPr="0000191A">
        <w:rPr>
          <w:rFonts w:ascii="Times New Roman" w:hAnsi="Times New Roman" w:cstheme="minorHAnsi"/>
          <w:color w:val="FF0000"/>
          <w:sz w:val="24"/>
          <w:szCs w:val="24"/>
        </w:rPr>
        <w:t xml:space="preserve">Amennyiben a PIN-kód helyesen kerül kitöltésre, a lekérdezés elküldésre kerül. </w:t>
      </w:r>
      <w:r>
        <w:rPr>
          <w:rFonts w:ascii="Times New Roman" w:hAnsi="Times New Roman" w:cstheme="minorHAnsi"/>
          <w:color w:val="FF0000"/>
          <w:sz w:val="24"/>
          <w:szCs w:val="24"/>
        </w:rPr>
        <w:t>A rendszer az alábbi üzenettel igazolja vissza az elküldést:</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4246880" cy="1376503"/>
            <wp:effectExtent l="0" t="0" r="127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18">
                      <a:extLst>
                        <a:ext uri="{28A0092B-C50C-407E-A947-70E740481C1C}">
                          <a14:useLocalDpi xmlns:a14="http://schemas.microsoft.com/office/drawing/2010/main" val="0"/>
                        </a:ext>
                      </a:extLst>
                    </a:blip>
                    <a:stretch>
                      <a:fillRect/>
                    </a:stretch>
                  </pic:blipFill>
                  <pic:spPr>
                    <a:xfrm>
                      <a:off x="0" y="0"/>
                      <a:ext cx="4264373" cy="1382173"/>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Abban az esetben, ha a felhasználó nem megfelelően adta meg a PIN-kódját az alábbi figyelmeztető üzenetet kapja: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772426" cy="139084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19">
                      <a:extLst>
                        <a:ext uri="{28A0092B-C50C-407E-A947-70E740481C1C}">
                          <a14:useLocalDpi xmlns:a14="http://schemas.microsoft.com/office/drawing/2010/main" val="0"/>
                        </a:ext>
                      </a:extLst>
                    </a:blip>
                    <a:stretch>
                      <a:fillRect/>
                    </a:stretch>
                  </pic:blipFill>
                  <pic:spPr>
                    <a:xfrm>
                      <a:off x="0" y="0"/>
                      <a:ext cx="3772426" cy="1390844"/>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 felhasználó az </w:t>
      </w:r>
      <w:r w:rsidRPr="0000191A">
        <w:rPr>
          <w:rFonts w:ascii="Times New Roman" w:hAnsi="Times New Roman" w:cstheme="minorHAnsi"/>
          <w:b/>
          <w:color w:val="FF0000"/>
          <w:sz w:val="24"/>
          <w:szCs w:val="24"/>
        </w:rPr>
        <w:t>„</w:t>
      </w:r>
      <w:r>
        <w:rPr>
          <w:rFonts w:ascii="Times New Roman" w:hAnsi="Times New Roman" w:cstheme="minorHAnsi"/>
          <w:b/>
          <w:color w:val="FF0000"/>
          <w:sz w:val="24"/>
          <w:szCs w:val="24"/>
        </w:rPr>
        <w:t>I</w:t>
      </w:r>
      <w:r w:rsidRPr="0000191A">
        <w:rPr>
          <w:rFonts w:ascii="Times New Roman" w:hAnsi="Times New Roman" w:cstheme="minorHAnsi"/>
          <w:b/>
          <w:color w:val="FF0000"/>
          <w:sz w:val="24"/>
          <w:szCs w:val="24"/>
        </w:rPr>
        <w:t>smét”</w:t>
      </w:r>
      <w:r>
        <w:rPr>
          <w:rFonts w:ascii="Times New Roman" w:hAnsi="Times New Roman" w:cstheme="minorHAnsi"/>
          <w:color w:val="FF0000"/>
          <w:sz w:val="24"/>
          <w:szCs w:val="24"/>
        </w:rPr>
        <w:t xml:space="preserve"> gomb megnyomásával kísérelheti meg PIN-kódjának ismételt megadását. Az üzenet mindaddig nem kerül elküldésre, amíg a PIN-kód hibás. </w:t>
      </w:r>
    </w:p>
    <w:p w:rsidR="006E70C3" w:rsidRPr="0000191A" w:rsidRDefault="006E70C3"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Amennyiben ötször egymás után hibás PIN-kódot ad meg, a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használhatatlanná válik, és ezután már a helyes PIN kóddal sem tudja az üzenetet elküldeni. Az így érvénytelenné vált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helyett újat kell igényelni. </w:t>
      </w:r>
    </w:p>
    <w:p w:rsidR="0000191A" w:rsidRDefault="0000191A"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974843" w:rsidRPr="00AA582E"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Zrt.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Zrt</w:t>
      </w:r>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Zrt.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GIRO Zrt.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Pr="007D73F2">
        <w:rPr>
          <w:rFonts w:ascii="Times New Roman" w:hAnsi="Times New Roman" w:cstheme="minorHAnsi"/>
          <w:color w:val="C00000"/>
          <w:sz w:val="24"/>
          <w:szCs w:val="24"/>
        </w:rPr>
        <w:t xml:space="preserve">Az </w:t>
      </w:r>
      <w:proofErr w:type="spellStart"/>
      <w:r w:rsidRPr="007D73F2">
        <w:rPr>
          <w:rFonts w:ascii="Times New Roman" w:hAnsi="Times New Roman" w:cstheme="minorHAnsi"/>
          <w:color w:val="C00000"/>
          <w:sz w:val="24"/>
          <w:szCs w:val="24"/>
        </w:rPr>
        <w:t>Érintettel</w:t>
      </w:r>
      <w:proofErr w:type="spellEnd"/>
      <w:r w:rsidRPr="007D73F2">
        <w:rPr>
          <w:rFonts w:ascii="Times New Roman" w:hAnsi="Times New Roman" w:cstheme="minorHAnsi"/>
          <w:color w:val="C00000"/>
          <w:sz w:val="24"/>
          <w:szCs w:val="24"/>
        </w:rPr>
        <w:t xml:space="preserve"> szemben az adatkezelő felel az adatfeldolgozó által okozott kárért, aki köteles megfizetni az érintettnek az adatfeldolgozó által okozott személyiségi jogsértés esetén járó sérelemdíjat is. Az adatkezelő mentesül az okozott kárért való felelősség és a sérelemdíj megfizetésének kötelezettsége alól, ha bizonyítja, hogy a kárt vagy az Érintett személyiségi jogának sérelmét az adatkezelés körén kívül eső elháríthatatlan ok idézte elő. Nem kell megtéríteni a kárt és nem követelhető a sérelemdíj annyiban, amennyiben a kár a károsult, vagy a személyiségi jog megsértésével okozott jogsérelem az érintett szándékos, vagy súlyosan gondtalan magatartásából származott. Amennyiben az adatkezelő szervezet akár az érintett, vagy harmadik személy jelzése alapján, akár a belső ellenőrzési rend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(fegyelmi felelősség) jelentheti, másrészt a jogsértés mértékétől függően büntető feljelentés meglétét vonhatja maga után.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Az adatvédelemmel kapcsolatos szabályok közvetlen megszegésének legsúlyosabb tényállásai</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……2.3.6.1.</w:t>
      </w:r>
    </w:p>
    <w:p w:rsidR="00974843" w:rsidRDefault="00974843" w:rsidP="00974843"/>
    <w:p w:rsidR="00E87430" w:rsidRDefault="00E87430" w:rsidP="00974843">
      <w:pPr>
        <w:rPr>
          <w:rFonts w:ascii="Times New Roman" w:hAnsi="Times New Roman" w:cstheme="minorHAnsi"/>
          <w:sz w:val="24"/>
          <w:szCs w:val="24"/>
        </w:rPr>
      </w:pPr>
    </w:p>
    <w:sectPr w:rsidR="00E87430" w:rsidSect="00CC3914">
      <w:footerReference w:type="default" r:id="rId20"/>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7F8" w:rsidRDefault="005877F8">
      <w:pPr>
        <w:spacing w:after="0" w:line="240" w:lineRule="auto"/>
      </w:pPr>
      <w:r>
        <w:separator/>
      </w:r>
    </w:p>
  </w:endnote>
  <w:endnote w:type="continuationSeparator" w:id="0">
    <w:p w:rsidR="005877F8" w:rsidRDefault="0058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615000">
          <w:rPr>
            <w:noProof/>
          </w:rPr>
          <w:t>20</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7F8" w:rsidRDefault="005877F8">
      <w:pPr>
        <w:spacing w:after="0" w:line="240" w:lineRule="auto"/>
      </w:pPr>
      <w:r>
        <w:separator/>
      </w:r>
    </w:p>
  </w:footnote>
  <w:footnote w:type="continuationSeparator" w:id="0">
    <w:p w:rsidR="005877F8" w:rsidRDefault="00587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A18"/>
    <w:rsid w:val="000121C5"/>
    <w:rsid w:val="0001405C"/>
    <w:rsid w:val="00014093"/>
    <w:rsid w:val="00014115"/>
    <w:rsid w:val="00026C47"/>
    <w:rsid w:val="00035E61"/>
    <w:rsid w:val="000363C0"/>
    <w:rsid w:val="00043BF4"/>
    <w:rsid w:val="00044171"/>
    <w:rsid w:val="00070C64"/>
    <w:rsid w:val="00075179"/>
    <w:rsid w:val="00077E43"/>
    <w:rsid w:val="00077F8F"/>
    <w:rsid w:val="000818AA"/>
    <w:rsid w:val="00095DB6"/>
    <w:rsid w:val="000A1AE9"/>
    <w:rsid w:val="000A371F"/>
    <w:rsid w:val="000A7D3B"/>
    <w:rsid w:val="000F0851"/>
    <w:rsid w:val="00104609"/>
    <w:rsid w:val="00106DF9"/>
    <w:rsid w:val="00120C98"/>
    <w:rsid w:val="0012228A"/>
    <w:rsid w:val="001271E4"/>
    <w:rsid w:val="00133D3A"/>
    <w:rsid w:val="00135EF6"/>
    <w:rsid w:val="00136247"/>
    <w:rsid w:val="0015287D"/>
    <w:rsid w:val="00156190"/>
    <w:rsid w:val="0016363C"/>
    <w:rsid w:val="0016443D"/>
    <w:rsid w:val="0019482B"/>
    <w:rsid w:val="001A617A"/>
    <w:rsid w:val="001B0602"/>
    <w:rsid w:val="001C3F8F"/>
    <w:rsid w:val="001D1152"/>
    <w:rsid w:val="001E14CE"/>
    <w:rsid w:val="001E5E76"/>
    <w:rsid w:val="001E60A7"/>
    <w:rsid w:val="002069BB"/>
    <w:rsid w:val="00216921"/>
    <w:rsid w:val="002542BB"/>
    <w:rsid w:val="00261D40"/>
    <w:rsid w:val="00265DFA"/>
    <w:rsid w:val="00270CC8"/>
    <w:rsid w:val="002A32A6"/>
    <w:rsid w:val="002B2425"/>
    <w:rsid w:val="002B5E2D"/>
    <w:rsid w:val="002C4395"/>
    <w:rsid w:val="002E73FB"/>
    <w:rsid w:val="00301112"/>
    <w:rsid w:val="00304266"/>
    <w:rsid w:val="00306736"/>
    <w:rsid w:val="00312B0C"/>
    <w:rsid w:val="003179BA"/>
    <w:rsid w:val="00350601"/>
    <w:rsid w:val="00367ADB"/>
    <w:rsid w:val="00375F78"/>
    <w:rsid w:val="00396216"/>
    <w:rsid w:val="00397CAA"/>
    <w:rsid w:val="003A0B3D"/>
    <w:rsid w:val="003B091D"/>
    <w:rsid w:val="003D505A"/>
    <w:rsid w:val="003E6E77"/>
    <w:rsid w:val="003F0731"/>
    <w:rsid w:val="003F63FC"/>
    <w:rsid w:val="0040229D"/>
    <w:rsid w:val="00404367"/>
    <w:rsid w:val="004112DB"/>
    <w:rsid w:val="004173C6"/>
    <w:rsid w:val="00430D69"/>
    <w:rsid w:val="00431C6E"/>
    <w:rsid w:val="00437292"/>
    <w:rsid w:val="004448D3"/>
    <w:rsid w:val="00455A73"/>
    <w:rsid w:val="00475F32"/>
    <w:rsid w:val="00487C0E"/>
    <w:rsid w:val="004A3766"/>
    <w:rsid w:val="004A7A29"/>
    <w:rsid w:val="004B4800"/>
    <w:rsid w:val="004E3BBC"/>
    <w:rsid w:val="004F2C51"/>
    <w:rsid w:val="00504CDA"/>
    <w:rsid w:val="005131A1"/>
    <w:rsid w:val="00537EE8"/>
    <w:rsid w:val="00547769"/>
    <w:rsid w:val="00562300"/>
    <w:rsid w:val="0056350C"/>
    <w:rsid w:val="00585E86"/>
    <w:rsid w:val="005877F8"/>
    <w:rsid w:val="00592279"/>
    <w:rsid w:val="005A3169"/>
    <w:rsid w:val="005A7F69"/>
    <w:rsid w:val="005B60D5"/>
    <w:rsid w:val="005C7D51"/>
    <w:rsid w:val="005D3477"/>
    <w:rsid w:val="005E0FDE"/>
    <w:rsid w:val="0060717F"/>
    <w:rsid w:val="006123C7"/>
    <w:rsid w:val="00613B2B"/>
    <w:rsid w:val="00615000"/>
    <w:rsid w:val="006303DA"/>
    <w:rsid w:val="0064578B"/>
    <w:rsid w:val="00651DBC"/>
    <w:rsid w:val="00652A8E"/>
    <w:rsid w:val="0065357C"/>
    <w:rsid w:val="006539BF"/>
    <w:rsid w:val="00661154"/>
    <w:rsid w:val="00665E83"/>
    <w:rsid w:val="00683879"/>
    <w:rsid w:val="00685C2C"/>
    <w:rsid w:val="00693762"/>
    <w:rsid w:val="00697B8A"/>
    <w:rsid w:val="006A2BE1"/>
    <w:rsid w:val="006A50E7"/>
    <w:rsid w:val="006C63BA"/>
    <w:rsid w:val="006D1FD2"/>
    <w:rsid w:val="006D6DBC"/>
    <w:rsid w:val="006E1C07"/>
    <w:rsid w:val="006E70C3"/>
    <w:rsid w:val="00706F5F"/>
    <w:rsid w:val="0071188C"/>
    <w:rsid w:val="00717FAE"/>
    <w:rsid w:val="007244DC"/>
    <w:rsid w:val="00743FE6"/>
    <w:rsid w:val="00753DAB"/>
    <w:rsid w:val="00760785"/>
    <w:rsid w:val="0076222B"/>
    <w:rsid w:val="00766703"/>
    <w:rsid w:val="007704A8"/>
    <w:rsid w:val="007943DC"/>
    <w:rsid w:val="007A3AA9"/>
    <w:rsid w:val="007A5243"/>
    <w:rsid w:val="007A7D13"/>
    <w:rsid w:val="007B7C50"/>
    <w:rsid w:val="007C0F34"/>
    <w:rsid w:val="007C207A"/>
    <w:rsid w:val="007C5458"/>
    <w:rsid w:val="007C5571"/>
    <w:rsid w:val="007D476C"/>
    <w:rsid w:val="007D73F2"/>
    <w:rsid w:val="007E0398"/>
    <w:rsid w:val="007E769D"/>
    <w:rsid w:val="007F3912"/>
    <w:rsid w:val="007F5EC7"/>
    <w:rsid w:val="00817A6D"/>
    <w:rsid w:val="00817CE9"/>
    <w:rsid w:val="008737F4"/>
    <w:rsid w:val="00877DA5"/>
    <w:rsid w:val="008E2420"/>
    <w:rsid w:val="008F36B2"/>
    <w:rsid w:val="008F4B4C"/>
    <w:rsid w:val="00922A43"/>
    <w:rsid w:val="00924002"/>
    <w:rsid w:val="00924AB8"/>
    <w:rsid w:val="0092711E"/>
    <w:rsid w:val="00930A38"/>
    <w:rsid w:val="00933CC8"/>
    <w:rsid w:val="00952821"/>
    <w:rsid w:val="00955086"/>
    <w:rsid w:val="00956412"/>
    <w:rsid w:val="00974843"/>
    <w:rsid w:val="009836A8"/>
    <w:rsid w:val="00995026"/>
    <w:rsid w:val="009A1F2F"/>
    <w:rsid w:val="009A27FD"/>
    <w:rsid w:val="009A59FB"/>
    <w:rsid w:val="009D19B9"/>
    <w:rsid w:val="009F361B"/>
    <w:rsid w:val="00A064AF"/>
    <w:rsid w:val="00A06E59"/>
    <w:rsid w:val="00A10C06"/>
    <w:rsid w:val="00A112D9"/>
    <w:rsid w:val="00A14A4B"/>
    <w:rsid w:val="00A16F38"/>
    <w:rsid w:val="00A2007A"/>
    <w:rsid w:val="00A23823"/>
    <w:rsid w:val="00A2574A"/>
    <w:rsid w:val="00A32D70"/>
    <w:rsid w:val="00A36687"/>
    <w:rsid w:val="00A476EB"/>
    <w:rsid w:val="00A526A2"/>
    <w:rsid w:val="00A551DD"/>
    <w:rsid w:val="00A57377"/>
    <w:rsid w:val="00A61B1D"/>
    <w:rsid w:val="00A63136"/>
    <w:rsid w:val="00A71CF1"/>
    <w:rsid w:val="00A745E4"/>
    <w:rsid w:val="00A761E7"/>
    <w:rsid w:val="00A86DC8"/>
    <w:rsid w:val="00A920D8"/>
    <w:rsid w:val="00A93B6B"/>
    <w:rsid w:val="00AA3BD2"/>
    <w:rsid w:val="00AB75BA"/>
    <w:rsid w:val="00AB7D9C"/>
    <w:rsid w:val="00AC65A9"/>
    <w:rsid w:val="00AF795D"/>
    <w:rsid w:val="00B072C9"/>
    <w:rsid w:val="00B07CA8"/>
    <w:rsid w:val="00B107DB"/>
    <w:rsid w:val="00B4536F"/>
    <w:rsid w:val="00B56A1A"/>
    <w:rsid w:val="00B60900"/>
    <w:rsid w:val="00B6199A"/>
    <w:rsid w:val="00B72922"/>
    <w:rsid w:val="00B839D7"/>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4CBD"/>
    <w:rsid w:val="00C560E8"/>
    <w:rsid w:val="00C72CFC"/>
    <w:rsid w:val="00C75D8C"/>
    <w:rsid w:val="00C75EAF"/>
    <w:rsid w:val="00C8578C"/>
    <w:rsid w:val="00C90A84"/>
    <w:rsid w:val="00C9666F"/>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660F2"/>
    <w:rsid w:val="00D74E1B"/>
    <w:rsid w:val="00D80F93"/>
    <w:rsid w:val="00D84609"/>
    <w:rsid w:val="00D90DA6"/>
    <w:rsid w:val="00DC4E93"/>
    <w:rsid w:val="00DD22C8"/>
    <w:rsid w:val="00DD41AA"/>
    <w:rsid w:val="00DD4316"/>
    <w:rsid w:val="00DD5260"/>
    <w:rsid w:val="00DE3384"/>
    <w:rsid w:val="00DE5B74"/>
    <w:rsid w:val="00DF7E0C"/>
    <w:rsid w:val="00E00290"/>
    <w:rsid w:val="00E0246E"/>
    <w:rsid w:val="00E1225C"/>
    <w:rsid w:val="00E228A3"/>
    <w:rsid w:val="00E34C60"/>
    <w:rsid w:val="00E479B7"/>
    <w:rsid w:val="00E57CCA"/>
    <w:rsid w:val="00E61662"/>
    <w:rsid w:val="00E750B3"/>
    <w:rsid w:val="00E83379"/>
    <w:rsid w:val="00E87430"/>
    <w:rsid w:val="00E91107"/>
    <w:rsid w:val="00EC3385"/>
    <w:rsid w:val="00EC6218"/>
    <w:rsid w:val="00ED1A2B"/>
    <w:rsid w:val="00ED412E"/>
    <w:rsid w:val="00ED5149"/>
    <w:rsid w:val="00ED5FA7"/>
    <w:rsid w:val="00EF67FC"/>
    <w:rsid w:val="00F052EE"/>
    <w:rsid w:val="00F0544E"/>
    <w:rsid w:val="00F0679C"/>
    <w:rsid w:val="00F10328"/>
    <w:rsid w:val="00F1202B"/>
    <w:rsid w:val="00F523E8"/>
    <w:rsid w:val="00F558CF"/>
    <w:rsid w:val="00F55DD4"/>
    <w:rsid w:val="00F94142"/>
    <w:rsid w:val="00FA48C7"/>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6F5C3"/>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619D-1E79-45B8-9326-654A20E3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23</Pages>
  <Words>5672</Words>
  <Characters>39141</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213</cp:revision>
  <dcterms:created xsi:type="dcterms:W3CDTF">2018-03-22T18:23:00Z</dcterms:created>
  <dcterms:modified xsi:type="dcterms:W3CDTF">2018-04-26T23:13:00Z</dcterms:modified>
</cp:coreProperties>
</file>