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
      <w:sdtPr>
        <w:id w:val="1493062418"/>
        <w:docPartObj>
          <w:docPartGallery w:val="Watermarks"/>
        </w:docPartObj>
      </w:sdtPr>
      <w:sdtEndPr/>
      <w:sdtContent>
        <w:p w:rsidR="007C5458" w:rsidRDefault="00C238AA" w:rsidP="007C5458"/>
      </w:sdtContent>
    </w:sdt>
    <w:p w:rsidR="007C5458" w:rsidRDefault="007C5458" w:rsidP="007C5458">
      <w:pPr>
        <w:sectPr w:rsidR="007C5458" w:rsidSect="007C5458">
          <w:headerReference w:type="default" r:id="rId9"/>
          <w:footerReference w:type="default" r:id="rId10"/>
          <w:footerReference w:type="first" r:id="rId11"/>
          <w:pgSz w:w="11906" w:h="16838" w:code="9"/>
          <w:pgMar w:top="1418" w:right="1418" w:bottom="1418" w:left="1985" w:header="709" w:footer="709" w:gutter="0"/>
          <w:cols w:space="708"/>
          <w:docGrid w:linePitch="360"/>
        </w:sectPr>
      </w:pPr>
    </w:p>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GIRinfO Adatfeldolgozási Szolgáltatás a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E750B3" w:rsidRPr="007B7C50" w:rsidRDefault="00E750B3" w:rsidP="00E750B3">
          <w:pPr>
            <w:pStyle w:val="TJ3"/>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szolgáltatáscsomagjai (STANDARD, LITE)</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3</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Pr="007B7C50">
            <w:rPr>
              <w:rFonts w:ascii="Times New Roman" w:hAnsi="Times New Roman"/>
              <w:sz w:val="28"/>
              <w:szCs w:val="28"/>
              <w:lang w:val="hu-HU"/>
            </w:rPr>
            <w:ptab w:relativeTo="margin" w:alignment="right" w:leader="dot"/>
          </w:r>
          <w:r w:rsidR="007B7C50">
            <w:rPr>
              <w:rFonts w:ascii="Times New Roman" w:hAnsi="Times New Roman"/>
              <w:b/>
              <w:bCs/>
              <w:sz w:val="28"/>
              <w:szCs w:val="28"/>
              <w:lang w:val="hu-HU"/>
            </w:rPr>
            <w:t>5</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C238AA">
            <w:rPr>
              <w:rFonts w:ascii="Times New Roman" w:hAnsi="Times New Roman"/>
              <w:sz w:val="28"/>
              <w:szCs w:val="28"/>
              <w:lang w:val="hu-HU"/>
            </w:rPr>
            <w:t>6</w:t>
          </w:r>
          <w:bookmarkStart w:id="0" w:name="_GoBack"/>
          <w:bookmarkEnd w:id="0"/>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Eltérő adatbázisok összeköttetése</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Prioritások rövid ismertetése</w:t>
          </w:r>
          <w:r w:rsidRPr="007B7C50">
            <w:rPr>
              <w:rFonts w:ascii="Times New Roman" w:hAnsi="Times New Roman"/>
              <w:sz w:val="28"/>
              <w:szCs w:val="28"/>
              <w:lang w:val="hu-HU"/>
            </w:rPr>
            <w:ptab w:relativeTo="margin" w:alignment="right" w:leader="do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p>
        <w:p w:rsidR="003E6E77" w:rsidRPr="007B7C50" w:rsidRDefault="00697B8A" w:rsidP="003E6E77">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Ehhez kapcsolódó szolgáltatások ismert</w:t>
          </w:r>
          <w:r w:rsidR="003E6E77" w:rsidRPr="007B7C50">
            <w:rPr>
              <w:rFonts w:ascii="Times New Roman" w:hAnsi="Times New Roman"/>
              <w:sz w:val="28"/>
              <w:szCs w:val="28"/>
              <w:lang w:val="hu-HU"/>
            </w:rPr>
            <w:t>e</w:t>
          </w:r>
          <w:r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p>
        <w:p w:rsidR="00697B8A" w:rsidRPr="007B7C50" w:rsidRDefault="00697B8A" w:rsidP="00697B8A"/>
        <w:p w:rsidR="00697B8A" w:rsidRPr="007B7C50" w:rsidRDefault="00697B8A" w:rsidP="00697B8A">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 xml:space="preserve">GIRinfO </w:t>
          </w:r>
          <w:r w:rsidR="00952821">
            <w:rPr>
              <w:rFonts w:ascii="Times New Roman" w:hAnsi="Times New Roman"/>
              <w:b/>
              <w:bCs/>
              <w:sz w:val="28"/>
              <w:szCs w:val="28"/>
              <w:lang w:val="hu-HU"/>
            </w:rPr>
            <w:t xml:space="preserve">és </w:t>
          </w:r>
          <w:r w:rsidRPr="007B7C50">
            <w:rPr>
              <w:rFonts w:ascii="Times New Roman" w:hAnsi="Times New Roman"/>
              <w:b/>
              <w:bCs/>
              <w:sz w:val="28"/>
              <w:szCs w:val="28"/>
              <w:lang w:val="hu-HU"/>
            </w:rPr>
            <w:t>a GIRO Zrt</w:t>
          </w:r>
          <w:r w:rsidR="00952821">
            <w:rPr>
              <w:rFonts w:ascii="Times New Roman" w:hAnsi="Times New Roman"/>
              <w:b/>
              <w:bCs/>
              <w:sz w:val="28"/>
              <w:szCs w:val="28"/>
              <w:lang w:val="hu-HU"/>
            </w:rPr>
            <w:t>.</w:t>
          </w:r>
          <w:r w:rsidRPr="007B7C50">
            <w:rPr>
              <w:rFonts w:ascii="Times New Roman" w:hAnsi="Times New Roman"/>
              <w:sz w:val="28"/>
              <w:szCs w:val="28"/>
              <w:lang w:val="hu-HU"/>
            </w:rPr>
            <w:ptab w:relativeTo="margin" w:alignment="right" w:leader="dot"/>
          </w:r>
        </w:p>
        <w:p w:rsidR="00697B8A" w:rsidRPr="007B7C50" w:rsidRDefault="00697B8A" w:rsidP="00697B8A">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Bevezetett technikai megvalósítások</w:t>
          </w:r>
          <w:r w:rsidRPr="007B7C50">
            <w:rPr>
              <w:rFonts w:ascii="Times New Roman" w:hAnsi="Times New Roman"/>
              <w:sz w:val="28"/>
              <w:szCs w:val="28"/>
              <w:lang w:val="hu-HU"/>
            </w:rPr>
            <w:ptab w:relativeTo="margin" w:alignment="right" w:leader="dot"/>
          </w:r>
        </w:p>
        <w:p w:rsidR="007B7C50" w:rsidRPr="007B7C50" w:rsidRDefault="007B7C50" w:rsidP="007B7C50">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szolgáltatásra kiterjedő felelősségek</w:t>
          </w:r>
          <w:r w:rsidRPr="007B7C50">
            <w:rPr>
              <w:rFonts w:ascii="Times New Roman" w:hAnsi="Times New Roman"/>
              <w:sz w:val="28"/>
              <w:szCs w:val="28"/>
              <w:lang w:val="hu-HU"/>
            </w:rPr>
            <w:ptab w:relativeTo="margin" w:alignment="right" w:leader="dot"/>
          </w:r>
        </w:p>
        <w:p w:rsidR="00E750B3" w:rsidRPr="00BC1D26" w:rsidRDefault="00C238AA" w:rsidP="003E6E77"/>
      </w:sdtContent>
    </w:sdt>
    <w:p w:rsidR="006A50E7" w:rsidRDefault="006A50E7" w:rsidP="00E750B3">
      <w:pPr>
        <w:rPr>
          <w:rFonts w:ascii="Times New Roman" w:hAnsi="Times New Roman" w:cs="Times New Roman"/>
          <w:b/>
          <w:smallCaps/>
          <w:sz w:val="24"/>
          <w:szCs w:val="24"/>
        </w:rPr>
        <w:sectPr w:rsidR="006A50E7" w:rsidSect="007C5458">
          <w:type w:val="continuous"/>
          <w:pgSz w:w="11906" w:h="16838" w:code="9"/>
          <w:pgMar w:top="1418" w:right="1418" w:bottom="1418" w:left="1985" w:header="709" w:footer="709" w:gutter="0"/>
          <w:cols w:space="708"/>
          <w:docGrid w:linePitch="360"/>
        </w:sectPr>
      </w:pPr>
    </w:p>
    <w:p w:rsidR="007C5458" w:rsidRPr="006A50E7" w:rsidRDefault="007C5458" w:rsidP="006A50E7">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7C5458" w:rsidRPr="006A50E7" w:rsidRDefault="007C5458" w:rsidP="007C5458">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t>A GIRinfO Adatfeldolgozási Szolgáltatás a kezdetektől napjainkig</w:t>
      </w:r>
    </w:p>
    <w:p w:rsidR="007C5458" w:rsidRPr="00396216" w:rsidRDefault="00D00AF4" w:rsidP="003D505A">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GIRinfO Adatszolgáltatást azzal a céllal, hogy a közhiteles és publikus adatbázisok elérésének biztosításával elősegítse a pénzintézetek hitelezési kockázatának csökkentését. </w:t>
      </w:r>
      <w:r w:rsidR="00E228A3">
        <w:rPr>
          <w:rFonts w:ascii="Times New Roman" w:hAnsi="Times New Roman" w:cs="Times New Roman"/>
          <w:sz w:val="24"/>
          <w:szCs w:val="24"/>
        </w:rPr>
        <w:t>2007-ben a</w:t>
      </w:r>
      <w:r w:rsidR="00E228A3" w:rsidRPr="00E228A3">
        <w:rPr>
          <w:rFonts w:ascii="Times New Roman" w:hAnsi="Times New Roman" w:cs="Times New Roman"/>
          <w:sz w:val="24"/>
          <w:szCs w:val="24"/>
        </w:rPr>
        <w:t xml:space="preserve"> GIRinfO szolgáltatást 80 ügyfél vette igénybe, csaknem másfél millió lekérdezést végrehajtva. A cég partnerei az innen nyert információkkal lényegesen megbízhatóbbá tették kockázatértékelési rendszerüket.</w:t>
      </w:r>
      <w:r w:rsidR="00E228A3">
        <w:rPr>
          <w:rFonts w:ascii="Times New Roman" w:hAnsi="Times New Roman" w:cs="Times New Roman"/>
          <w:sz w:val="24"/>
          <w:szCs w:val="24"/>
        </w:rPr>
        <w:t xml:space="preserve"> </w:t>
      </w:r>
      <w:r w:rsidR="00E228A3" w:rsidRPr="00E228A3">
        <w:rPr>
          <w:rFonts w:ascii="Times New Roman" w:hAnsi="Times New Roman" w:cs="Times New Roman"/>
          <w:sz w:val="24"/>
          <w:szCs w:val="24"/>
        </w:rPr>
        <w:t xml:space="preserve">A </w:t>
      </w:r>
      <w:r w:rsidR="00E228A3">
        <w:rPr>
          <w:rFonts w:ascii="Times New Roman" w:hAnsi="Times New Roman" w:cs="Times New Roman"/>
          <w:sz w:val="24"/>
          <w:szCs w:val="24"/>
        </w:rPr>
        <w:t>következő évben a</w:t>
      </w:r>
      <w:r w:rsidR="00E228A3" w:rsidRPr="00E228A3">
        <w:rPr>
          <w:rFonts w:ascii="Times New Roman" w:hAnsi="Times New Roman" w:cs="Times New Roman"/>
          <w:sz w:val="24"/>
          <w:szCs w:val="24"/>
        </w:rPr>
        <w:t xml:space="preserve"> szolgáltatás tranzakciós forgalma a kedvezőtlen makrogazdasági folyamatok ellenére </w:t>
      </w:r>
      <w:r w:rsidR="00E228A3">
        <w:rPr>
          <w:rFonts w:ascii="Times New Roman" w:hAnsi="Times New Roman" w:cs="Times New Roman"/>
          <w:sz w:val="24"/>
          <w:szCs w:val="24"/>
        </w:rPr>
        <w:t xml:space="preserve">is </w:t>
      </w:r>
      <w:r w:rsidR="00E228A3" w:rsidRPr="00E228A3">
        <w:rPr>
          <w:rFonts w:ascii="Times New Roman" w:hAnsi="Times New Roman" w:cs="Times New Roman"/>
          <w:sz w:val="24"/>
          <w:szCs w:val="24"/>
        </w:rPr>
        <w:t>20%-</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nőtt az ügyfélkör bővülése mellett</w:t>
      </w:r>
      <w:r w:rsidR="00E228A3">
        <w:rPr>
          <w:rFonts w:ascii="Times New Roman" w:hAnsi="Times New Roman" w:cs="Times New Roman"/>
          <w:sz w:val="24"/>
          <w:szCs w:val="24"/>
        </w:rPr>
        <w:t>, s</w:t>
      </w:r>
      <w:r w:rsidR="00E228A3"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00E228A3" w:rsidRPr="00E228A3">
        <w:rPr>
          <w:rFonts w:ascii="Times New Roman" w:hAnsi="Times New Roman" w:cs="Times New Roman"/>
          <w:sz w:val="24"/>
          <w:szCs w:val="24"/>
        </w:rPr>
        <w:t>nél</w:t>
      </w:r>
      <w:proofErr w:type="spellEnd"/>
      <w:r w:rsidR="00E228A3" w:rsidRPr="00E228A3">
        <w:rPr>
          <w:rFonts w:ascii="Times New Roman" w:hAnsi="Times New Roman" w:cs="Times New Roman"/>
          <w:sz w:val="24"/>
          <w:szCs w:val="24"/>
        </w:rPr>
        <w:t xml:space="preserve"> a növekedés a lakossági rendszer</w:t>
      </w:r>
      <w:r w:rsidR="00E228A3">
        <w:rPr>
          <w:rFonts w:ascii="Times New Roman" w:hAnsi="Times New Roman" w:cs="Times New Roman"/>
          <w:sz w:val="24"/>
          <w:szCs w:val="24"/>
        </w:rPr>
        <w:t>ben mint</w:t>
      </w:r>
      <w:r w:rsidR="00E228A3" w:rsidRPr="00E228A3">
        <w:rPr>
          <w:rFonts w:ascii="Times New Roman" w:hAnsi="Times New Roman" w:cs="Times New Roman"/>
          <w:sz w:val="24"/>
          <w:szCs w:val="24"/>
        </w:rPr>
        <w:t>egy 15%-</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a vállalkozó rendszerben pedig 31%-</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haladta meg az előző évet.</w:t>
      </w:r>
      <w:r w:rsidR="009A1F2F">
        <w:rPr>
          <w:rFonts w:ascii="Times New Roman" w:hAnsi="Times New Roman" w:cs="Times New Roman"/>
          <w:sz w:val="24"/>
          <w:szCs w:val="24"/>
        </w:rPr>
        <w:t xml:space="preserve"> 2009-ben a</w:t>
      </w:r>
      <w:r w:rsidR="009A1F2F" w:rsidRPr="009A1F2F">
        <w:rPr>
          <w:rFonts w:ascii="Times New Roman" w:hAnsi="Times New Roman" w:cs="Times New Roman"/>
          <w:sz w:val="24"/>
          <w:szCs w:val="24"/>
        </w:rPr>
        <w:t xml:space="preserve"> világgazdasági válság a klíringforgalomban is éreztette hatását</w:t>
      </w:r>
      <w:r w:rsidR="009A1F2F">
        <w:rPr>
          <w:rFonts w:ascii="Times New Roman" w:hAnsi="Times New Roman" w:cs="Times New Roman"/>
          <w:sz w:val="24"/>
          <w:szCs w:val="24"/>
        </w:rPr>
        <w:t xml:space="preserve">, ugyanis a </w:t>
      </w:r>
      <w:r w:rsidR="009A1F2F" w:rsidRPr="009A1F2F">
        <w:rPr>
          <w:rFonts w:ascii="Times New Roman" w:hAnsi="Times New Roman" w:cs="Times New Roman"/>
          <w:sz w:val="24"/>
          <w:szCs w:val="24"/>
        </w:rPr>
        <w:t>klíringtranzakciók 2</w:t>
      </w:r>
      <w:r w:rsidR="009A1F2F">
        <w:rPr>
          <w:rFonts w:ascii="Times New Roman" w:hAnsi="Times New Roman" w:cs="Times New Roman"/>
          <w:sz w:val="24"/>
          <w:szCs w:val="24"/>
        </w:rPr>
        <w:t>89 milliós darabszáma a korábbi</w:t>
      </w:r>
      <w:r w:rsidR="009A1F2F" w:rsidRPr="009A1F2F">
        <w:rPr>
          <w:rFonts w:ascii="Times New Roman" w:hAnsi="Times New Roman" w:cs="Times New Roman"/>
          <w:sz w:val="24"/>
          <w:szCs w:val="24"/>
        </w:rPr>
        <w:t xml:space="preserve"> években tapasztalt 8%-</w:t>
      </w:r>
      <w:proofErr w:type="spellStart"/>
      <w:r w:rsidR="009A1F2F" w:rsidRPr="009A1F2F">
        <w:rPr>
          <w:rFonts w:ascii="Times New Roman" w:hAnsi="Times New Roman" w:cs="Times New Roman"/>
          <w:sz w:val="24"/>
          <w:szCs w:val="24"/>
        </w:rPr>
        <w:t>os</w:t>
      </w:r>
      <w:proofErr w:type="spellEnd"/>
      <w:r w:rsidR="009A1F2F" w:rsidRPr="009A1F2F">
        <w:rPr>
          <w:rFonts w:ascii="Times New Roman" w:hAnsi="Times New Roman" w:cs="Times New Roman"/>
          <w:sz w:val="24"/>
          <w:szCs w:val="24"/>
        </w:rPr>
        <w:t xml:space="preserve"> növekedéssel szemben gyakorlatilag stagnált, míg a feldolgozott klíringtranzakciók összértéke csökkent. A válság hatására a GIRinfO adatszolgáltatás lekérdezési tranzakcióinak a szám</w:t>
      </w:r>
      <w:r w:rsidR="009A1F2F">
        <w:rPr>
          <w:rFonts w:ascii="Times New Roman" w:hAnsi="Times New Roman" w:cs="Times New Roman"/>
          <w:sz w:val="24"/>
          <w:szCs w:val="24"/>
        </w:rPr>
        <w:t>a is jelentősen csökkent. Az előbbi</w:t>
      </w:r>
      <w:r w:rsidR="009A1F2F" w:rsidRPr="009A1F2F">
        <w:rPr>
          <w:rFonts w:ascii="Times New Roman" w:hAnsi="Times New Roman" w:cs="Times New Roman"/>
          <w:sz w:val="24"/>
          <w:szCs w:val="24"/>
        </w:rPr>
        <w:t xml:space="preserve"> 7 év látványos emelkedése után nagy esés következett.</w:t>
      </w:r>
      <w:r w:rsidR="009836A8">
        <w:rPr>
          <w:rFonts w:ascii="Times New Roman" w:hAnsi="Times New Roman" w:cs="Times New Roman"/>
          <w:sz w:val="24"/>
          <w:szCs w:val="24"/>
        </w:rPr>
        <w:t xml:space="preserve"> </w:t>
      </w:r>
      <w:r w:rsidR="00706F5F"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sidR="00706F5F">
        <w:rPr>
          <w:rFonts w:ascii="Times New Roman" w:hAnsi="Times New Roman" w:cs="Times New Roman"/>
          <w:sz w:val="24"/>
          <w:szCs w:val="24"/>
        </w:rPr>
        <w:t xml:space="preserve">. </w:t>
      </w:r>
      <w:r w:rsidR="009836A8">
        <w:rPr>
          <w:rFonts w:ascii="Times New Roman" w:hAnsi="Times New Roman" w:cs="Times New Roman"/>
          <w:sz w:val="24"/>
          <w:szCs w:val="24"/>
        </w:rPr>
        <w:t xml:space="preserve">Nem volt ez másként 2010-ben sem. </w:t>
      </w:r>
      <w:r w:rsidR="00396216">
        <w:rPr>
          <w:rFonts w:ascii="Times New Roman" w:hAnsi="Times New Roman" w:cs="Times New Roman"/>
          <w:sz w:val="24"/>
          <w:szCs w:val="24"/>
        </w:rPr>
        <w:t xml:space="preserve">2011-től </w:t>
      </w:r>
      <w:r w:rsidR="00706F5F">
        <w:rPr>
          <w:rFonts w:ascii="Times New Roman" w:hAnsi="Times New Roman" w:cs="Times New Roman"/>
          <w:sz w:val="24"/>
          <w:szCs w:val="24"/>
        </w:rPr>
        <w:t xml:space="preserve">azonban </w:t>
      </w:r>
      <w:r w:rsidR="00396216">
        <w:rPr>
          <w:rFonts w:ascii="Times New Roman" w:hAnsi="Times New Roman" w:cs="Times New Roman"/>
          <w:sz w:val="24"/>
          <w:szCs w:val="24"/>
        </w:rPr>
        <w:t>ismételt növekedés következett be, ugyanis ez a</w:t>
      </w:r>
      <w:r w:rsidR="00396216" w:rsidRPr="00396216">
        <w:rPr>
          <w:rFonts w:ascii="Times New Roman" w:hAnsi="Times New Roman" w:cs="Times New Roman"/>
          <w:sz w:val="24"/>
          <w:szCs w:val="24"/>
        </w:rPr>
        <w:t xml:space="preserve"> válság utáni első év, amikor a feldolgozott klíringtranzakciók mind darabszámban, mind összértékben</w:t>
      </w:r>
      <w:r w:rsidR="00706F5F">
        <w:rPr>
          <w:rFonts w:ascii="Times New Roman" w:hAnsi="Times New Roman" w:cs="Times New Roman"/>
          <w:sz w:val="24"/>
          <w:szCs w:val="24"/>
        </w:rPr>
        <w:t xml:space="preserve"> </w:t>
      </w:r>
      <w:r w:rsidR="00396216">
        <w:rPr>
          <w:rFonts w:ascii="Times New Roman" w:hAnsi="Times New Roman" w:cs="Times New Roman"/>
          <w:sz w:val="24"/>
          <w:szCs w:val="24"/>
        </w:rPr>
        <w:t>növekedtek, akárcsak a</w:t>
      </w:r>
      <w:r w:rsidR="00396216" w:rsidRPr="00396216">
        <w:rPr>
          <w:rFonts w:ascii="Times New Roman" w:hAnsi="Times New Roman" w:cs="Times New Roman"/>
          <w:sz w:val="24"/>
          <w:szCs w:val="24"/>
        </w:rPr>
        <w:t xml:space="preserve"> GIRinfO adatszolgáltatás tranzakcióinak számában a korábbi két év csökkenő tendenciája </w:t>
      </w:r>
      <w:r w:rsidR="00396216">
        <w:rPr>
          <w:rFonts w:ascii="Times New Roman" w:hAnsi="Times New Roman" w:cs="Times New Roman"/>
          <w:sz w:val="24"/>
          <w:szCs w:val="24"/>
        </w:rPr>
        <w:t xml:space="preserve">is </w:t>
      </w:r>
      <w:r w:rsidR="00396216" w:rsidRPr="00396216">
        <w:rPr>
          <w:rFonts w:ascii="Times New Roman" w:hAnsi="Times New Roman" w:cs="Times New Roman"/>
          <w:sz w:val="24"/>
          <w:szCs w:val="24"/>
        </w:rPr>
        <w:t>megfordult.</w:t>
      </w:r>
      <w:r w:rsidR="00C9666F">
        <w:rPr>
          <w:rFonts w:ascii="Times New Roman" w:hAnsi="Times New Roman" w:cs="Times New Roman"/>
          <w:sz w:val="24"/>
          <w:szCs w:val="24"/>
        </w:rPr>
        <w:t xml:space="preserve"> 2014-ben </w:t>
      </w:r>
      <w:r w:rsidR="00C9666F" w:rsidRPr="00C9666F">
        <w:rPr>
          <w:rFonts w:ascii="Times New Roman" w:hAnsi="Times New Roman" w:cs="Times New Roman"/>
          <w:sz w:val="24"/>
          <w:szCs w:val="24"/>
        </w:rPr>
        <w:t>tovább emelkedett, a</w:t>
      </w:r>
      <w:r w:rsidR="00C9666F">
        <w:rPr>
          <w:rFonts w:ascii="Times New Roman" w:hAnsi="Times New Roman" w:cs="Times New Roman"/>
          <w:sz w:val="24"/>
          <w:szCs w:val="24"/>
        </w:rPr>
        <w:t>mikor ugyanis a</w:t>
      </w:r>
      <w:r w:rsidR="00C9666F" w:rsidRPr="00C9666F">
        <w:rPr>
          <w:rFonts w:ascii="Times New Roman" w:hAnsi="Times New Roman" w:cs="Times New Roman"/>
          <w:sz w:val="24"/>
          <w:szCs w:val="24"/>
        </w:rPr>
        <w:t xml:space="preserve"> havi tranzakciószám </w:t>
      </w:r>
      <w:r w:rsidR="00C9666F">
        <w:rPr>
          <w:rFonts w:ascii="Times New Roman" w:hAnsi="Times New Roman" w:cs="Times New Roman"/>
          <w:sz w:val="24"/>
          <w:szCs w:val="24"/>
        </w:rPr>
        <w:t xml:space="preserve">már </w:t>
      </w:r>
      <w:r w:rsidR="00C9666F" w:rsidRPr="00C9666F">
        <w:rPr>
          <w:rFonts w:ascii="Times New Roman" w:hAnsi="Times New Roman" w:cs="Times New Roman"/>
          <w:sz w:val="24"/>
          <w:szCs w:val="24"/>
        </w:rPr>
        <w:t>130 000 fölé került.</w:t>
      </w:r>
      <w:r w:rsidR="00B56A1A">
        <w:rPr>
          <w:rFonts w:ascii="Times New Roman" w:hAnsi="Times New Roman" w:cs="Times New Roman"/>
          <w:sz w:val="24"/>
          <w:szCs w:val="24"/>
        </w:rPr>
        <w:t xml:space="preserve"> Következő évben 23,6%-</w:t>
      </w:r>
      <w:proofErr w:type="spellStart"/>
      <w:r w:rsidR="00B56A1A">
        <w:rPr>
          <w:rFonts w:ascii="Times New Roman" w:hAnsi="Times New Roman" w:cs="Times New Roman"/>
          <w:sz w:val="24"/>
          <w:szCs w:val="24"/>
        </w:rPr>
        <w:t>os</w:t>
      </w:r>
      <w:proofErr w:type="spellEnd"/>
      <w:r w:rsidR="00B56A1A">
        <w:rPr>
          <w:rFonts w:ascii="Times New Roman" w:hAnsi="Times New Roman" w:cs="Times New Roman"/>
          <w:sz w:val="24"/>
          <w:szCs w:val="24"/>
        </w:rPr>
        <w:t xml:space="preserve"> növekedést ér el a szolgáltatás. </w:t>
      </w:r>
      <w:r w:rsidR="00375F78">
        <w:rPr>
          <w:rFonts w:ascii="Times New Roman" w:hAnsi="Times New Roman" w:cs="Times New Roman"/>
          <w:sz w:val="24"/>
          <w:szCs w:val="24"/>
        </w:rPr>
        <w:t>2016-ban már a 2,4 millió darabot is meghaladta a tranzakcióforgalom, mely 2015-höz képest 14%-</w:t>
      </w:r>
      <w:proofErr w:type="spellStart"/>
      <w:r w:rsidR="00375F78">
        <w:rPr>
          <w:rFonts w:ascii="Times New Roman" w:hAnsi="Times New Roman" w:cs="Times New Roman"/>
          <w:sz w:val="24"/>
          <w:szCs w:val="24"/>
        </w:rPr>
        <w:t>os</w:t>
      </w:r>
      <w:proofErr w:type="spellEnd"/>
      <w:r w:rsidR="00375F78">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sidR="00375F78">
        <w:rPr>
          <w:rFonts w:ascii="Times New Roman" w:hAnsi="Times New Roman" w:cs="Times New Roman"/>
          <w:sz w:val="24"/>
          <w:szCs w:val="24"/>
        </w:rPr>
        <w:t>ot</w:t>
      </w:r>
      <w:proofErr w:type="spellEnd"/>
      <w:r w:rsidR="00375F78">
        <w:rPr>
          <w:rFonts w:ascii="Times New Roman" w:hAnsi="Times New Roman" w:cs="Times New Roman"/>
          <w:sz w:val="24"/>
          <w:szCs w:val="24"/>
        </w:rPr>
        <w:t>. Az előző évi forgalomhoz képest a személyazonosság igazolására használható okmányokra indított tranzakciók átlagosan 22%-</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míg a törzskönyvi adatok lekérdezései közel 40%-</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xml:space="preserve"> emelkedtek.</w:t>
      </w:r>
      <w:r w:rsidR="003D505A">
        <w:rPr>
          <w:rFonts w:ascii="Times New Roman" w:hAnsi="Times New Roman" w:cs="Times New Roman"/>
          <w:sz w:val="24"/>
          <w:szCs w:val="24"/>
        </w:rPr>
        <w:br/>
        <w:t>Összefoglalva tehát a</w:t>
      </w:r>
      <w:r w:rsidR="003D505A" w:rsidRPr="00944937">
        <w:rPr>
          <w:rFonts w:ascii="Times New Roman" w:hAnsi="Times New Roman" w:cs="Times New Roman"/>
          <w:sz w:val="24"/>
          <w:szCs w:val="24"/>
        </w:rPr>
        <w:t xml:space="preserve"> GIRinfO Adatfeldolgozási </w:t>
      </w:r>
      <w:r w:rsidR="003D505A">
        <w:rPr>
          <w:rFonts w:ascii="Times New Roman" w:hAnsi="Times New Roman" w:cs="Times New Roman"/>
          <w:sz w:val="24"/>
          <w:szCs w:val="24"/>
        </w:rPr>
        <w:t xml:space="preserve">Szolgáltatás, röviden GIRinfO a vállalat 2003. eleje óta működő üzleti szolgáltatása. Célpiaci ügyfélkörét a pénzügyi intézmények, illetve telekommunikációs cégek alkotják. A GIRinfO Adatfeldolgozási </w:t>
      </w:r>
      <w:r w:rsidR="003D505A">
        <w:rPr>
          <w:rFonts w:ascii="Times New Roman" w:hAnsi="Times New Roman" w:cs="Times New Roman"/>
          <w:sz w:val="24"/>
          <w:szCs w:val="24"/>
        </w:rPr>
        <w:lastRenderedPageBreak/>
        <w:t>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7C5458" w:rsidRDefault="007C5458" w:rsidP="007C5458">
      <w:pPr>
        <w:rPr>
          <w:rFonts w:ascii="Times New Roman" w:hAnsi="Times New Roman" w:cs="Times New Roman"/>
          <w:b/>
          <w:smallCaps/>
          <w:sz w:val="24"/>
          <w:szCs w:val="24"/>
        </w:rPr>
      </w:pPr>
    </w:p>
    <w:p w:rsidR="007C5458" w:rsidRDefault="004A7A29" w:rsidP="001271E4">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A </w:t>
      </w:r>
      <w:r w:rsidR="007C5458">
        <w:rPr>
          <w:rFonts w:ascii="Times New Roman" w:hAnsi="Times New Roman" w:cs="Times New Roman"/>
          <w:b/>
          <w:smallCaps/>
          <w:sz w:val="24"/>
          <w:szCs w:val="24"/>
        </w:rPr>
        <w:t>fejlesztések eredményei</w:t>
      </w:r>
    </w:p>
    <w:p w:rsidR="00665E83" w:rsidRPr="00665E83" w:rsidRDefault="00C75D8C"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sidR="00952821">
        <w:rPr>
          <w:rFonts w:ascii="Times New Roman" w:hAnsi="Times New Roman" w:cs="Times New Roman"/>
          <w:sz w:val="24"/>
          <w:szCs w:val="24"/>
        </w:rPr>
        <w:t>melnek majd ezek a</w:t>
      </w:r>
      <w:r>
        <w:rPr>
          <w:rFonts w:ascii="Times New Roman" w:hAnsi="Times New Roman" w:cs="Times New Roman"/>
          <w:sz w:val="24"/>
          <w:szCs w:val="24"/>
        </w:rPr>
        <w:t xml:space="preserve">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w:t>
      </w:r>
      <w:r w:rsidR="00665E83">
        <w:rPr>
          <w:rFonts w:ascii="Times New Roman" w:hAnsi="Times New Roman" w:cs="Times New Roman"/>
          <w:sz w:val="24"/>
          <w:szCs w:val="24"/>
        </w:rPr>
        <w:t xml:space="preserve">2012-ben </w:t>
      </w:r>
      <w:r w:rsidR="00665E83" w:rsidRPr="00665E83">
        <w:rPr>
          <w:rFonts w:ascii="Times New Roman" w:hAnsi="Times New Roman" w:cs="Times New Roman"/>
          <w:sz w:val="24"/>
          <w:szCs w:val="24"/>
        </w:rPr>
        <w:t>tovább folytatódott a 2010 óta tapasztalható fellendülés a GIRinfO tranzakciók forgalmában. 2013-ban a bővülés megközelítette a 11%-</w:t>
      </w:r>
      <w:proofErr w:type="spellStart"/>
      <w:r w:rsidR="00665E83" w:rsidRPr="00665E83">
        <w:rPr>
          <w:rFonts w:ascii="Times New Roman" w:hAnsi="Times New Roman" w:cs="Times New Roman"/>
          <w:sz w:val="24"/>
          <w:szCs w:val="24"/>
        </w:rPr>
        <w:t>ot</w:t>
      </w:r>
      <w:proofErr w:type="spellEnd"/>
      <w:r w:rsidR="00665E83" w:rsidRPr="00665E83">
        <w:rPr>
          <w:rFonts w:ascii="Times New Roman" w:hAnsi="Times New Roman" w:cs="Times New Roman"/>
          <w:sz w:val="24"/>
          <w:szCs w:val="24"/>
        </w:rPr>
        <w:t>. Ebben alapvető szerepet kapott a telekommunikációs szektorhoz tartozó adatigénylők (GIRinfO ügyfelek) lekérdezéseinek dinamikus bővülése. A tranzakciószám bővülésével a forgalom lassan megközelíti a gazdasági válság előtti értéket.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telekommunikációs szektor GIRinfO forgalmának bővülése és a pénzügyi szektor GIRinfO felhasználásában a behajtási tevékenység támogatása felé történő elmozdulás a lakcímadatok lekérdezési súlyának folyamatos emelkedésével járt az utóbbi években, így 2013-ban is.</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Magyar Országos Közjegyzői Kamara (MOKK) Zálogjogi Országos Nyilvántartásából lekérdezhető ingójelzálog adatok egyre né</w:t>
      </w:r>
      <w:r w:rsidR="002069BB">
        <w:rPr>
          <w:rFonts w:ascii="Times New Roman" w:hAnsi="Times New Roman" w:cs="Times New Roman"/>
          <w:sz w:val="24"/>
          <w:szCs w:val="24"/>
        </w:rPr>
        <w:t>pszerűbbek ügyfélkörünkben, e</w:t>
      </w:r>
      <w:r w:rsidR="00665E83" w:rsidRPr="00665E83">
        <w:rPr>
          <w:rFonts w:ascii="Times New Roman" w:hAnsi="Times New Roman" w:cs="Times New Roman"/>
          <w:sz w:val="24"/>
          <w:szCs w:val="24"/>
        </w:rPr>
        <w:t xml:space="preserve"> tranzakciók forgalma, 2013-ban 21,5%-</w:t>
      </w:r>
      <w:proofErr w:type="spellStart"/>
      <w:r w:rsidR="00665E83" w:rsidRPr="00665E83">
        <w:rPr>
          <w:rFonts w:ascii="Times New Roman" w:hAnsi="Times New Roman" w:cs="Times New Roman"/>
          <w:sz w:val="24"/>
          <w:szCs w:val="24"/>
        </w:rPr>
        <w:t>kal</w:t>
      </w:r>
      <w:proofErr w:type="spellEnd"/>
      <w:r w:rsidR="00665E83" w:rsidRPr="00665E83">
        <w:rPr>
          <w:rFonts w:ascii="Times New Roman" w:hAnsi="Times New Roman" w:cs="Times New Roman"/>
          <w:sz w:val="24"/>
          <w:szCs w:val="24"/>
        </w:rPr>
        <w:t xml:space="preserve"> bővült.</w:t>
      </w:r>
    </w:p>
    <w:p w:rsidR="00014115" w:rsidRDefault="00665E83" w:rsidP="00665E8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GIRinfO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adatigénylői csoportjához kapcsolódó hitelszövetkezetek is felmondták GIRinfO szerződésüket. Ugyanennek a jogszabályi változásnak következményeként több takarékszövetkezet is felmondta GIRinfO szerződését. Az említett folyamatok azonban csak minimális hatással lesznek a GIRinfO forgalmának alakulására, hiszen ezek az ügyfelek nem képviseltek jelentős súlyt</w:t>
      </w:r>
      <w:r>
        <w:rPr>
          <w:rFonts w:ascii="Times New Roman" w:hAnsi="Times New Roman" w:cs="Times New Roman"/>
          <w:sz w:val="24"/>
          <w:szCs w:val="24"/>
        </w:rPr>
        <w:t xml:space="preserve"> a GIRinfO összforgalmán belül. </w:t>
      </w:r>
      <w:r w:rsidRPr="00665E83">
        <w:rPr>
          <w:rFonts w:ascii="Times New Roman" w:hAnsi="Times New Roman" w:cs="Times New Roman"/>
          <w:sz w:val="24"/>
          <w:szCs w:val="24"/>
        </w:rPr>
        <w:t>Ügyfélkörünk legnagyobb forgalmat bonyolító tagjai szinte kivétel nélkül mind kialakították és használják a fájlos lekérdezést lehetővé tevő automata üzemmódot. Közülük majdnem minden második tavaly áttért a korszerűbb adatátvitelt jelentő GIROFile használatára, és folyamatosan dolgozunk azon, hogy a többi GIRinfO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A 2013-as év GIRinfO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7C5458" w:rsidRPr="001271E4" w:rsidRDefault="001271E4"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fejlesztésnek köszönhetően</w:t>
      </w:r>
      <w:r w:rsidR="00D80F93">
        <w:rPr>
          <w:rFonts w:ascii="Times New Roman" w:hAnsi="Times New Roman" w:cs="Times New Roman"/>
          <w:sz w:val="24"/>
          <w:szCs w:val="24"/>
        </w:rPr>
        <w:t xml:space="preserve"> a GIRO Zrt. ügyfelei már a gépjárművek km-óra állását és leolvasás időpontját is ellenőrizhetik, valamint lehetőség nyílt a cég tulajdonában lévő gépjárművek azonosító adatainak lekérdezésére is.</w:t>
      </w:r>
      <w:r w:rsidR="007F5EC7">
        <w:rPr>
          <w:rFonts w:ascii="Times New Roman" w:hAnsi="Times New Roman" w:cs="Times New Roman"/>
          <w:sz w:val="24"/>
          <w:szCs w:val="24"/>
        </w:rPr>
        <w:t xml:space="preserve"> A szolgáltatási szegmens mindinkább felfedezi, hogy a GIRinfO szolgáltatás integrációjával 21. századi ügyintézés valósítható meg. </w:t>
      </w:r>
    </w:p>
    <w:p w:rsidR="007C5458" w:rsidRDefault="007C5458" w:rsidP="007C5458">
      <w:pPr>
        <w:rPr>
          <w:rFonts w:ascii="Times New Roman" w:hAnsi="Times New Roman" w:cs="Times New Roman"/>
          <w:b/>
          <w:smallCaps/>
          <w:sz w:val="24"/>
          <w:szCs w:val="24"/>
        </w:rPr>
      </w:pPr>
    </w:p>
    <w:p w:rsidR="007C5458" w:rsidRDefault="007C5458" w:rsidP="007C5458">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t xml:space="preserve">A </w:t>
      </w:r>
      <w:proofErr w:type="spellStart"/>
      <w:r>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szolgáltatáscsomagjai (Standard, </w:t>
      </w:r>
      <w:proofErr w:type="spellStart"/>
      <w:r>
        <w:rPr>
          <w:rFonts w:ascii="Times New Roman" w:hAnsi="Times New Roman" w:cs="Times New Roman"/>
          <w:b/>
          <w:smallCaps/>
          <w:sz w:val="24"/>
          <w:szCs w:val="24"/>
        </w:rPr>
        <w:t>Lite</w:t>
      </w:r>
      <w:proofErr w:type="spellEnd"/>
      <w:r>
        <w:rPr>
          <w:rFonts w:ascii="Times New Roman" w:hAnsi="Times New Roman" w:cs="Times New Roman"/>
          <w:b/>
          <w:smallCaps/>
          <w:sz w:val="24"/>
          <w:szCs w:val="24"/>
        </w:rPr>
        <w:t>)</w:t>
      </w:r>
    </w:p>
    <w:p w:rsidR="007C5458" w:rsidRDefault="007C5458" w:rsidP="007C5458">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w:t>
      </w:r>
      <w:r w:rsidR="006A50E7">
        <w:rPr>
          <w:rFonts w:ascii="Times New Roman" w:hAnsi="Times New Roman" w:cs="Times New Roman"/>
          <w:sz w:val="24"/>
          <w:szCs w:val="24"/>
        </w:rPr>
        <w:t>nthető a STANDARD csomagja. E</w:t>
      </w:r>
      <w:r>
        <w:rPr>
          <w:rFonts w:ascii="Times New Roman" w:hAnsi="Times New Roman" w:cs="Times New Roman"/>
          <w:sz w:val="24"/>
          <w:szCs w:val="24"/>
        </w:rPr>
        <w:t xml:space="preserv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w:t>
      </w:r>
      <w:r>
        <w:rPr>
          <w:rFonts w:ascii="Times New Roman" w:hAnsi="Times New Roman" w:cs="Times New Roman"/>
          <w:sz w:val="24"/>
          <w:szCs w:val="24"/>
        </w:rPr>
        <w:lastRenderedPageBreak/>
        <w:t xml:space="preserve">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7C5458" w:rsidRPr="006C35DF"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0121C5" w:rsidRDefault="000121C5" w:rsidP="000121C5">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rendszer</w:t>
      </w:r>
    </w:p>
    <w:p w:rsidR="003F0731" w:rsidRDefault="000121C5" w:rsidP="00592279">
      <w:pPr>
        <w:spacing w:before="24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sidR="00F1202B">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sidR="00F1202B">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sidR="00D46DC7">
        <w:rPr>
          <w:rFonts w:ascii="Times New Roman" w:hAnsi="Times New Roman" w:cs="Times New Roman"/>
          <w:sz w:val="24"/>
          <w:szCs w:val="24"/>
        </w:rPr>
        <w:t xml:space="preserve"> </w:t>
      </w:r>
      <w:r w:rsidR="00D46DC7"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sidR="00014093">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w:t>
      </w:r>
      <w:r w:rsidR="003B091D">
        <w:rPr>
          <w:rFonts w:ascii="Times New Roman" w:hAnsi="Times New Roman" w:cs="Times New Roman"/>
          <w:sz w:val="24"/>
          <w:szCs w:val="24"/>
        </w:rPr>
        <w:t xml:space="preserve">A Rendszerben történő megfelelő beállításokat a GIRO Zrt. végzi el az adatlap kézhezvételétől számított 5 munkanapon belül. E jogok az ügyféloldalon nem állíthatók be. </w:t>
      </w:r>
      <w:r w:rsidR="00592279">
        <w:rPr>
          <w:rFonts w:ascii="Times New Roman" w:hAnsi="Times New Roman" w:cs="Times New Roman"/>
          <w:sz w:val="24"/>
          <w:szCs w:val="24"/>
        </w:rPr>
        <w:t xml:space="preserve">Az itt beállított jogok határozzák meg a szolgáltatáson belül elérhető adatok típusait. Egy felhasználó egyidejűleg több joggal rendelkezhet. A rendszerben megkülönböztethetünk jogosultság típusokat, melyek a következők lehetnek: </w:t>
      </w:r>
      <w:r w:rsidR="00592279" w:rsidRPr="00592279">
        <w:rPr>
          <w:rFonts w:ascii="Times New Roman" w:hAnsi="Times New Roman" w:cs="Times New Roman"/>
          <w:sz w:val="24"/>
          <w:szCs w:val="24"/>
        </w:rPr>
        <w:t>Járműinformáció</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 xml:space="preserve">Cég </w:t>
      </w:r>
      <w:proofErr w:type="spellStart"/>
      <w:r w:rsidR="00592279" w:rsidRPr="00592279">
        <w:rPr>
          <w:rFonts w:ascii="Times New Roman" w:hAnsi="Times New Roman" w:cs="Times New Roman"/>
          <w:sz w:val="24"/>
          <w:szCs w:val="24"/>
        </w:rPr>
        <w:t>gépjárműveit</w:t>
      </w:r>
      <w:proofErr w:type="spellEnd"/>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Személyi okmányt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Lakcímnyilvántartásból</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Arckép és aláírás</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Ingójelzálog</w:t>
      </w:r>
      <w:r w:rsidR="00592279">
        <w:rPr>
          <w:rFonts w:ascii="Times New Roman" w:hAnsi="Times New Roman" w:cs="Times New Roman"/>
          <w:sz w:val="24"/>
          <w:szCs w:val="24"/>
        </w:rPr>
        <w:t xml:space="preserve">ot-, </w:t>
      </w:r>
      <w:proofErr w:type="spellStart"/>
      <w:r w:rsidR="00592279" w:rsidRPr="00592279">
        <w:rPr>
          <w:rFonts w:ascii="Times New Roman" w:hAnsi="Times New Roman" w:cs="Times New Roman"/>
          <w:sz w:val="24"/>
          <w:szCs w:val="24"/>
        </w:rPr>
        <w:t>Opten</w:t>
      </w:r>
      <w:proofErr w:type="spellEnd"/>
      <w:r w:rsidR="00592279" w:rsidRPr="00592279">
        <w:rPr>
          <w:rFonts w:ascii="Times New Roman" w:hAnsi="Times New Roman" w:cs="Times New Roman"/>
          <w:sz w:val="24"/>
          <w:szCs w:val="24"/>
        </w:rPr>
        <w:t xml:space="preserve"> Céginformációt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IM Céginformációt</w:t>
      </w:r>
      <w:r w:rsidR="00592279">
        <w:rPr>
          <w:rFonts w:ascii="Times New Roman" w:hAnsi="Times New Roman" w:cs="Times New Roman"/>
          <w:sz w:val="24"/>
          <w:szCs w:val="24"/>
        </w:rPr>
        <w:t xml:space="preserve">-, és </w:t>
      </w:r>
      <w:r w:rsidR="00592279" w:rsidRPr="00592279">
        <w:rPr>
          <w:rFonts w:ascii="Times New Roman" w:hAnsi="Times New Roman" w:cs="Times New Roman"/>
          <w:sz w:val="24"/>
          <w:szCs w:val="24"/>
        </w:rPr>
        <w:t>Tranzakciólistát lekérdező (csoportvezető)</w:t>
      </w:r>
      <w:r w:rsidR="00592279">
        <w:rPr>
          <w:rFonts w:ascii="Times New Roman" w:hAnsi="Times New Roman" w:cs="Times New Roman"/>
          <w:sz w:val="24"/>
          <w:szCs w:val="24"/>
        </w:rPr>
        <w:t xml:space="preserve">. </w:t>
      </w:r>
      <w:r w:rsidR="003F0731">
        <w:rPr>
          <w:rFonts w:ascii="Times New Roman" w:hAnsi="Times New Roman" w:cs="Times New Roman"/>
          <w:sz w:val="24"/>
          <w:szCs w:val="24"/>
        </w:rPr>
        <w:t xml:space="preserve">A Járműinformációt lekérdező a gépjárműnyilvántartásban szereplő adatok lekérdezésére jogosult. </w:t>
      </w:r>
      <w:r w:rsidR="00E0246E">
        <w:rPr>
          <w:rFonts w:ascii="Times New Roman" w:hAnsi="Times New Roman" w:cs="Times New Roman"/>
          <w:sz w:val="24"/>
          <w:szCs w:val="24"/>
        </w:rPr>
        <w:t xml:space="preserve">A cég </w:t>
      </w:r>
      <w:proofErr w:type="spellStart"/>
      <w:r w:rsidR="00E0246E">
        <w:rPr>
          <w:rFonts w:ascii="Times New Roman" w:hAnsi="Times New Roman" w:cs="Times New Roman"/>
          <w:sz w:val="24"/>
          <w:szCs w:val="24"/>
        </w:rPr>
        <w:t>gépjárműveit</w:t>
      </w:r>
      <w:proofErr w:type="spellEnd"/>
      <w:r w:rsidR="00E0246E">
        <w:rPr>
          <w:rFonts w:ascii="Times New Roman" w:hAnsi="Times New Roman" w:cs="Times New Roman"/>
          <w:sz w:val="24"/>
          <w:szCs w:val="24"/>
        </w:rPr>
        <w:t xml:space="preserve"> lekérdező olyan gépjárművek azonosító adatainak lekérdezésére jogosult, melyek az adott cég tulajdonában, vagy üzemeltetésében szerepelnek. </w:t>
      </w:r>
      <w:r w:rsidR="0040229D">
        <w:rPr>
          <w:rFonts w:ascii="Times New Roman" w:hAnsi="Times New Roman" w:cs="Times New Roman"/>
          <w:sz w:val="24"/>
          <w:szCs w:val="24"/>
        </w:rPr>
        <w:t xml:space="preserve">Személyi okmányt lekérdező az okmányadatok lekérdezésére jogosult. </w:t>
      </w:r>
      <w:r w:rsidR="005D3477">
        <w:rPr>
          <w:rFonts w:ascii="Times New Roman" w:hAnsi="Times New Roman" w:cs="Times New Roman"/>
          <w:sz w:val="24"/>
          <w:szCs w:val="24"/>
        </w:rPr>
        <w:t xml:space="preserve">Személyes és lakcímadatok lekérdezésére jogosult a Lakcímnyilvántartásból lekérdező. </w:t>
      </w:r>
      <w:r w:rsidR="0071188C">
        <w:rPr>
          <w:rFonts w:ascii="Times New Roman" w:hAnsi="Times New Roman" w:cs="Times New Roman"/>
          <w:sz w:val="24"/>
          <w:szCs w:val="24"/>
        </w:rPr>
        <w:t xml:space="preserve">Arckép és aláírás nyilvántartásban szereplő adatok lekérdezésére jogosult az Arckép és aláírás lekérdező. MOKK rendszerben lévő ingójelzálog nyilvántartási adatok lekérésére az </w:t>
      </w:r>
      <w:r w:rsidR="00AF795D">
        <w:rPr>
          <w:rFonts w:ascii="Times New Roman" w:hAnsi="Times New Roman" w:cs="Times New Roman"/>
          <w:sz w:val="24"/>
          <w:szCs w:val="24"/>
        </w:rPr>
        <w:t xml:space="preserve">Ingójelzálog </w:t>
      </w:r>
      <w:r w:rsidR="0060717F">
        <w:rPr>
          <w:rFonts w:ascii="Times New Roman" w:hAnsi="Times New Roman" w:cs="Times New Roman"/>
          <w:sz w:val="24"/>
          <w:szCs w:val="24"/>
        </w:rPr>
        <w:t xml:space="preserve">lekérdező jogosult. Az </w:t>
      </w:r>
      <w:proofErr w:type="spellStart"/>
      <w:r w:rsidR="0060717F">
        <w:rPr>
          <w:rFonts w:ascii="Times New Roman" w:hAnsi="Times New Roman" w:cs="Times New Roman"/>
          <w:sz w:val="24"/>
          <w:szCs w:val="24"/>
        </w:rPr>
        <w:t>Opten</w:t>
      </w:r>
      <w:proofErr w:type="spellEnd"/>
      <w:r w:rsidR="0060717F">
        <w:rPr>
          <w:rFonts w:ascii="Times New Roman" w:hAnsi="Times New Roman" w:cs="Times New Roman"/>
          <w:sz w:val="24"/>
          <w:szCs w:val="24"/>
        </w:rPr>
        <w:t xml:space="preserve"> Céginformáció lekérdező e nyilvántartásból való lekérésekre jogosult. </w:t>
      </w:r>
      <w:r w:rsidR="00404367">
        <w:rPr>
          <w:rFonts w:ascii="Times New Roman" w:hAnsi="Times New Roman" w:cs="Times New Roman"/>
          <w:sz w:val="24"/>
          <w:szCs w:val="24"/>
        </w:rPr>
        <w:t xml:space="preserve">IM Céginformáció lekérdezője olyan céginformációk és szolgáltatások lekérdezésére jogosult, melyet az on-line Cégszolgálat (röviden OCCSZ) tett elérhetővé. </w:t>
      </w:r>
      <w:r w:rsidR="00B94FEB">
        <w:rPr>
          <w:rFonts w:ascii="Times New Roman" w:hAnsi="Times New Roman" w:cs="Times New Roman"/>
          <w:sz w:val="24"/>
          <w:szCs w:val="24"/>
        </w:rPr>
        <w:t>A Tranzakciólistát lekérő, másnéven csoportvezető</w:t>
      </w:r>
      <w:r w:rsidR="00404367">
        <w:rPr>
          <w:rFonts w:ascii="Times New Roman" w:hAnsi="Times New Roman" w:cs="Times New Roman"/>
          <w:sz w:val="24"/>
          <w:szCs w:val="24"/>
        </w:rPr>
        <w:t xml:space="preserve"> jogosult lekérdezni </w:t>
      </w:r>
      <w:r w:rsidR="00B94FEB">
        <w:rPr>
          <w:rFonts w:ascii="Times New Roman" w:hAnsi="Times New Roman" w:cs="Times New Roman"/>
          <w:sz w:val="24"/>
          <w:szCs w:val="24"/>
        </w:rPr>
        <w:t xml:space="preserve">az Adatigénylő </w:t>
      </w:r>
      <w:r w:rsidR="00404367">
        <w:rPr>
          <w:rFonts w:ascii="Times New Roman" w:hAnsi="Times New Roman" w:cs="Times New Roman"/>
          <w:sz w:val="24"/>
          <w:szCs w:val="24"/>
        </w:rPr>
        <w:t>egy, vagy akár több felhasználó</w:t>
      </w:r>
      <w:r w:rsidR="00B94FEB">
        <w:rPr>
          <w:rFonts w:ascii="Times New Roman" w:hAnsi="Times New Roman" w:cs="Times New Roman"/>
          <w:sz w:val="24"/>
          <w:szCs w:val="24"/>
        </w:rPr>
        <w:t>i</w:t>
      </w:r>
      <w:r w:rsidR="00404367">
        <w:rPr>
          <w:rFonts w:ascii="Times New Roman" w:hAnsi="Times New Roman" w:cs="Times New Roman"/>
          <w:sz w:val="24"/>
          <w:szCs w:val="24"/>
        </w:rPr>
        <w:t xml:space="preserve"> csoportja által elvégzett díjköteles tranzakciók listáját (összesített</w:t>
      </w:r>
      <w:r w:rsidR="00B94FEB">
        <w:rPr>
          <w:rFonts w:ascii="Times New Roman" w:hAnsi="Times New Roman" w:cs="Times New Roman"/>
          <w:sz w:val="24"/>
          <w:szCs w:val="24"/>
        </w:rPr>
        <w:t>, vagy részletes</w:t>
      </w:r>
      <w:r w:rsidR="00404367">
        <w:rPr>
          <w:rFonts w:ascii="Times New Roman" w:hAnsi="Times New Roman" w:cs="Times New Roman"/>
          <w:sz w:val="24"/>
          <w:szCs w:val="24"/>
        </w:rPr>
        <w:t>) egy adott intervallumra,</w:t>
      </w:r>
      <w:r w:rsidR="00B94FEB">
        <w:rPr>
          <w:rFonts w:ascii="Times New Roman" w:hAnsi="Times New Roman" w:cs="Times New Roman"/>
          <w:sz w:val="24"/>
          <w:szCs w:val="24"/>
        </w:rPr>
        <w:t xml:space="preserve"> általában 62 napon belülre. </w:t>
      </w:r>
    </w:p>
    <w:p w:rsidR="00E0246E" w:rsidRDefault="00E0246E" w:rsidP="00404367">
      <w:pPr>
        <w:spacing w:before="240" w:line="360" w:lineRule="auto"/>
        <w:jc w:val="both"/>
        <w:rPr>
          <w:rFonts w:ascii="Times New Roman" w:hAnsi="Times New Roman" w:cs="Times New Roman"/>
          <w:sz w:val="24"/>
          <w:szCs w:val="24"/>
        </w:rPr>
      </w:pPr>
    </w:p>
    <w:p w:rsidR="001E60A7" w:rsidRDefault="00A14A4B" w:rsidP="001E60A7">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w:t>
      </w:r>
      <w:r w:rsidRPr="00A14A4B">
        <w:rPr>
          <w:rFonts w:ascii="Times New Roman" w:hAnsi="Times New Roman" w:cstheme="minorHAnsi"/>
          <w:b/>
          <w:smallCaps/>
          <w:sz w:val="24"/>
          <w:szCs w:val="24"/>
        </w:rPr>
        <w:t>A lekérdezések útja, és azok megvalósítása</w:t>
      </w:r>
    </w:p>
    <w:p w:rsidR="001E60A7" w:rsidRDefault="001E60A7" w:rsidP="001E60A7">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0288" behindDoc="0" locked="0" layoutInCell="1" allowOverlap="1">
            <wp:simplePos x="0" y="0"/>
            <wp:positionH relativeFrom="margin">
              <wp:align>left</wp:align>
            </wp:positionH>
            <wp:positionV relativeFrom="paragraph">
              <wp:posOffset>59055</wp:posOffset>
            </wp:positionV>
            <wp:extent cx="1626235" cy="2801620"/>
            <wp:effectExtent l="0" t="0" r="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235" cy="280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F361B">
        <w:rPr>
          <w:rFonts w:ascii="Times New Roman" w:hAnsi="Times New Roman" w:cs="Times New Roman"/>
          <w:noProof/>
          <w:sz w:val="24"/>
          <w:szCs w:val="24"/>
          <w:lang w:eastAsia="hu-HU"/>
        </w:rPr>
        <w:t xml:space="preserve">Vegyük sorra a Lekérdezhető adatkörök opcióit: </w:t>
      </w:r>
      <w:r w:rsidRPr="001E60A7">
        <w:rPr>
          <w:rFonts w:ascii="Times New Roman" w:hAnsi="Times New Roman" w:cs="Times New Roman"/>
          <w:noProof/>
          <w:sz w:val="24"/>
          <w:szCs w:val="24"/>
          <w:lang w:eastAsia="hu-HU"/>
        </w:rPr>
        <w:t xml:space="preserve"> </w:t>
      </w:r>
    </w:p>
    <w:p w:rsidR="009F361B" w:rsidRDefault="009F361B" w:rsidP="00350601">
      <w:pPr>
        <w:pStyle w:val="Listaszerbekezds"/>
        <w:numPr>
          <w:ilvl w:val="0"/>
          <w:numId w:val="9"/>
        </w:numPr>
        <w:spacing w:before="120" w:after="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F361B" w:rsidRDefault="00350601"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w:t>
      </w:r>
      <w:r w:rsidR="000A1AE9">
        <w:rPr>
          <w:rFonts w:ascii="Times New Roman" w:hAnsi="Times New Roman" w:cs="Times New Roman"/>
          <w:noProof/>
          <w:sz w:val="24"/>
          <w:szCs w:val="24"/>
          <w:lang w:eastAsia="hu-HU"/>
        </w:rPr>
        <w:t xml:space="preserve">Továbbá itt kérhetjük le a tulajdonos és műszaki információkat, járműazonosító adatokat és a jármű okmányokat. </w:t>
      </w:r>
      <w:r>
        <w:rPr>
          <w:rFonts w:ascii="Times New Roman" w:hAnsi="Times New Roman" w:cs="Times New Roman"/>
          <w:noProof/>
          <w:sz w:val="24"/>
          <w:szCs w:val="24"/>
          <w:lang w:eastAsia="hu-HU"/>
        </w:rPr>
        <w:t xml:space="preserve">Utóbbi esetén pedig a törzskönyvre vonatkozó adatokat kérhetjük le.  </w:t>
      </w:r>
    </w:p>
    <w:p w:rsidR="00455A73" w:rsidRDefault="00455A73"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w:t>
      </w:r>
      <w:r w:rsidR="00DD41AA">
        <w:rPr>
          <w:rFonts w:ascii="Times New Roman" w:hAnsi="Times New Roman" w:cs="Times New Roman"/>
          <w:noProof/>
          <w:sz w:val="24"/>
          <w:szCs w:val="24"/>
          <w:lang w:eastAsia="hu-HU"/>
        </w:rPr>
        <w:t>ezeket megadtuk a következő lépés a kívánt tranzakció(k)</w:t>
      </w:r>
      <w:r w:rsidR="006539BF">
        <w:rPr>
          <w:rFonts w:ascii="Times New Roman" w:hAnsi="Times New Roman" w:cs="Times New Roman"/>
          <w:noProof/>
          <w:sz w:val="24"/>
          <w:szCs w:val="24"/>
          <w:lang w:eastAsia="hu-HU"/>
        </w:rPr>
        <w:t xml:space="preserve">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4448D3" w:rsidRDefault="004448D3"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w:t>
      </w:r>
      <w:r w:rsidR="007A7D13">
        <w:rPr>
          <w:rFonts w:ascii="Times New Roman" w:hAnsi="Times New Roman" w:cs="Times New Roman"/>
          <w:noProof/>
          <w:sz w:val="24"/>
          <w:szCs w:val="24"/>
          <w:lang w:eastAsia="hu-HU"/>
        </w:rPr>
        <w:t xml:space="preserve">Lekérdezésre érkező válaszok adattartalma szerint lehet: Járműtulajdonos azonosító, Járműazonosító, Jármű műszaki és Jármű okmányok adatai. </w:t>
      </w:r>
      <w:r w:rsidR="00DE5B74">
        <w:rPr>
          <w:rFonts w:ascii="Times New Roman" w:hAnsi="Times New Roman" w:cs="Times New Roman"/>
          <w:noProof/>
          <w:sz w:val="24"/>
          <w:szCs w:val="24"/>
          <w:lang w:eastAsia="hu-HU"/>
        </w:rPr>
        <w:t xml:space="preserve">Járműtulajdonosi adatokon belül megkülönböztetünk Természetes személy és Jogi személy adatokat. Előbbi a tulajdonviszony leírása (üzembentartó, lízingelő, </w:t>
      </w:r>
      <w:r w:rsidR="00924002">
        <w:rPr>
          <w:rFonts w:ascii="Times New Roman" w:hAnsi="Times New Roman" w:cs="Times New Roman"/>
          <w:noProof/>
          <w:sz w:val="24"/>
          <w:szCs w:val="24"/>
          <w:lang w:eastAsia="hu-HU"/>
        </w:rPr>
        <w:t>bérlő, stb.</w:t>
      </w:r>
      <w:r w:rsidR="00DE5B74">
        <w:rPr>
          <w:rFonts w:ascii="Times New Roman" w:hAnsi="Times New Roman" w:cs="Times New Roman"/>
          <w:noProof/>
          <w:sz w:val="24"/>
          <w:szCs w:val="24"/>
          <w:lang w:eastAsia="hu-HU"/>
        </w:rPr>
        <w:t>),</w:t>
      </w:r>
      <w:r w:rsidR="00924002">
        <w:rPr>
          <w:rFonts w:ascii="Times New Roman" w:hAnsi="Times New Roman" w:cs="Times New Roman"/>
          <w:noProof/>
          <w:sz w:val="24"/>
          <w:szCs w:val="24"/>
          <w:lang w:eastAsia="hu-HU"/>
        </w:rPr>
        <w:t xml:space="preserve"> tulajdonviszony kezdete, családnév, utónév, </w:t>
      </w:r>
      <w:r w:rsidR="00743FE6">
        <w:rPr>
          <w:rFonts w:ascii="Times New Roman" w:hAnsi="Times New Roman" w:cs="Times New Roman"/>
          <w:noProof/>
          <w:sz w:val="24"/>
          <w:szCs w:val="24"/>
          <w:lang w:eastAsia="hu-HU"/>
        </w:rPr>
        <w:t xml:space="preserve">leánykori név, születési hely, születési idő, anyja neve, részletes </w:t>
      </w:r>
      <w:r w:rsidR="00743FE6">
        <w:rPr>
          <w:rFonts w:ascii="Times New Roman" w:hAnsi="Times New Roman" w:cs="Times New Roman"/>
          <w:noProof/>
          <w:sz w:val="24"/>
          <w:szCs w:val="24"/>
          <w:lang w:eastAsia="hu-HU"/>
        </w:rPr>
        <w:lastRenderedPageBreak/>
        <w:t xml:space="preserve">lakcím. Utóbbi pedig a </w:t>
      </w:r>
      <w:r w:rsidR="00DE5B74">
        <w:rPr>
          <w:rFonts w:ascii="Times New Roman" w:hAnsi="Times New Roman" w:cs="Times New Roman"/>
          <w:noProof/>
          <w:sz w:val="24"/>
          <w:szCs w:val="24"/>
          <w:lang w:eastAsia="hu-HU"/>
        </w:rPr>
        <w:t xml:space="preserve"> </w:t>
      </w:r>
      <w:r w:rsidR="00743FE6">
        <w:rPr>
          <w:rFonts w:ascii="Times New Roman" w:hAnsi="Times New Roman" w:cs="Times New Roman"/>
          <w:noProof/>
          <w:sz w:val="24"/>
          <w:szCs w:val="24"/>
          <w:lang w:eastAsia="hu-HU"/>
        </w:rPr>
        <w:t>tulajdonviszony leírása (üzembentartó, lízingelő, bérlő, stb.),</w:t>
      </w:r>
      <w:r w:rsidR="00743FE6">
        <w:rPr>
          <w:rFonts w:ascii="Times New Roman" w:hAnsi="Times New Roman" w:cs="Times New Roman"/>
          <w:noProof/>
          <w:sz w:val="24"/>
          <w:szCs w:val="24"/>
          <w:lang w:eastAsia="hu-HU"/>
        </w:rPr>
        <w:t xml:space="preserve"> </w:t>
      </w:r>
      <w:r w:rsidR="00743FE6">
        <w:rPr>
          <w:rFonts w:ascii="Times New Roman" w:hAnsi="Times New Roman" w:cs="Times New Roman"/>
          <w:noProof/>
          <w:sz w:val="24"/>
          <w:szCs w:val="24"/>
          <w:lang w:eastAsia="hu-HU"/>
        </w:rPr>
        <w:t>tulajdonviszony kezdete,</w:t>
      </w:r>
      <w:r w:rsidR="00743FE6">
        <w:rPr>
          <w:rFonts w:ascii="Times New Roman" w:hAnsi="Times New Roman" w:cs="Times New Roman"/>
          <w:noProof/>
          <w:sz w:val="24"/>
          <w:szCs w:val="24"/>
          <w:lang w:eastAsia="hu-HU"/>
        </w:rPr>
        <w:t xml:space="preserve"> szervezet megnevezése, székhely/telephely részletes címe. Járműazonosító adatok tartalmazza az aktuális rendszám, az alvázszám, valamint az alvázszám utolsó módosításának dátumát. </w:t>
      </w:r>
      <w:r w:rsidR="00DF7E0C">
        <w:rPr>
          <w:rFonts w:ascii="Times New Roman" w:hAnsi="Times New Roman" w:cs="Times New Roman"/>
          <w:noProof/>
          <w:sz w:val="24"/>
          <w:szCs w:val="24"/>
          <w:lang w:eastAsia="hu-HU"/>
        </w:rPr>
        <w:t>Jármű műszaki adatokon belül található a jármű gyártási éve, első forgalomba helyezés ideje,</w:t>
      </w:r>
      <w:r w:rsidR="00585E86">
        <w:rPr>
          <w:rFonts w:ascii="Times New Roman" w:hAnsi="Times New Roman" w:cs="Times New Roman"/>
          <w:noProof/>
          <w:sz w:val="24"/>
          <w:szCs w:val="24"/>
          <w:lang w:eastAsia="hu-HU"/>
        </w:rPr>
        <w:t xml:space="preserve"> a</w:t>
      </w:r>
      <w:r w:rsidR="00DF7E0C">
        <w:rPr>
          <w:rFonts w:ascii="Times New Roman" w:hAnsi="Times New Roman" w:cs="Times New Roman"/>
          <w:noProof/>
          <w:sz w:val="24"/>
          <w:szCs w:val="24"/>
          <w:lang w:eastAsia="hu-HU"/>
        </w:rPr>
        <w:t xml:space="preserve"> jármű fajtája (neme),</w:t>
      </w:r>
      <w:r w:rsidR="00585E86">
        <w:rPr>
          <w:rFonts w:ascii="Times New Roman" w:hAnsi="Times New Roman" w:cs="Times New Roman"/>
          <w:noProof/>
          <w:sz w:val="24"/>
          <w:szCs w:val="24"/>
          <w:lang w:eastAsia="hu-HU"/>
        </w:rPr>
        <w:t xml:space="preserve"> </w:t>
      </w:r>
      <w:r w:rsidR="00DF7E0C">
        <w:rPr>
          <w:rFonts w:ascii="Times New Roman" w:hAnsi="Times New Roman" w:cs="Times New Roman"/>
          <w:noProof/>
          <w:sz w:val="24"/>
          <w:szCs w:val="24"/>
          <w:lang w:eastAsia="hu-HU"/>
        </w:rPr>
        <w:t xml:space="preserve">gyártmány megnevezése, </w:t>
      </w:r>
      <w:r w:rsidR="00585E86">
        <w:rPr>
          <w:rFonts w:ascii="Times New Roman" w:hAnsi="Times New Roman" w:cs="Times New Roman"/>
          <w:noProof/>
          <w:sz w:val="24"/>
          <w:szCs w:val="24"/>
          <w:lang w:eastAsia="hu-HU"/>
        </w:rPr>
        <w:t xml:space="preserve">típusa, össz tömeg, szállítható személyek száma, motorszám, hengerűrtaralom, hajtóanyag, teljesítmény, motorszám utolsó változásának dátuma, jármű elsődleges színe, szín változásának dátuma. </w:t>
      </w:r>
      <w:r w:rsidR="00A064AF">
        <w:rPr>
          <w:rFonts w:ascii="Times New Roman" w:hAnsi="Times New Roman" w:cs="Times New Roman"/>
          <w:noProof/>
          <w:sz w:val="24"/>
          <w:szCs w:val="24"/>
          <w:lang w:eastAsia="hu-HU"/>
        </w:rPr>
        <w:t xml:space="preserve">Jármű okmányok adatain belül megkülönböztetünk Okmányadatokat és Záradékot. Okmányadatokon belül beszélhetünk forgalmi engedélyszámról, </w:t>
      </w:r>
      <w:r w:rsidR="004F2C51">
        <w:rPr>
          <w:rFonts w:ascii="Times New Roman" w:hAnsi="Times New Roman" w:cs="Times New Roman"/>
          <w:noProof/>
          <w:sz w:val="24"/>
          <w:szCs w:val="24"/>
          <w:lang w:eastAsia="hu-HU"/>
        </w:rPr>
        <w:t xml:space="preserve">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w:t>
      </w:r>
      <w:r w:rsidR="00367ADB">
        <w:rPr>
          <w:rFonts w:ascii="Times New Roman" w:hAnsi="Times New Roman" w:cs="Times New Roman"/>
          <w:noProof/>
          <w:sz w:val="24"/>
          <w:szCs w:val="24"/>
          <w:lang w:eastAsia="hu-HU"/>
        </w:rPr>
        <w:t>postázás dátuma</w:t>
      </w:r>
      <w:r w:rsidR="004F2C51">
        <w:rPr>
          <w:rFonts w:ascii="Times New Roman" w:hAnsi="Times New Roman" w:cs="Times New Roman"/>
          <w:noProof/>
          <w:sz w:val="24"/>
          <w:szCs w:val="24"/>
          <w:lang w:eastAsia="hu-HU"/>
        </w:rPr>
        <w:t>)</w:t>
      </w:r>
      <w:r w:rsidR="00367ADB">
        <w:rPr>
          <w:rFonts w:ascii="Times New Roman" w:hAnsi="Times New Roman" w:cs="Times New Roman"/>
          <w:noProof/>
          <w:sz w:val="24"/>
          <w:szCs w:val="24"/>
          <w:lang w:eastAsia="hu-HU"/>
        </w:rPr>
        <w:t xml:space="preserve">,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DD22C8" w:rsidRDefault="00487C0E"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w:t>
      </w:r>
      <w:r w:rsidR="00CC16FA">
        <w:rPr>
          <w:rFonts w:ascii="Times New Roman" w:hAnsi="Times New Roman" w:cs="Times New Roman"/>
          <w:noProof/>
          <w:sz w:val="24"/>
          <w:szCs w:val="24"/>
          <w:lang w:eastAsia="hu-HU"/>
        </w:rPr>
        <w:t xml:space="preserve">Ezt követően minden lépés megegyezik a Járműinformációk esetén felsoroltakkal. </w:t>
      </w:r>
      <w:r w:rsidR="00DD5260">
        <w:rPr>
          <w:rFonts w:ascii="Times New Roman" w:hAnsi="Times New Roman" w:cs="Times New Roman"/>
          <w:noProof/>
          <w:sz w:val="24"/>
          <w:szCs w:val="24"/>
          <w:lang w:eastAsia="hu-HU"/>
        </w:rPr>
        <w:t xml:space="preserve">Lekérdezésre </w:t>
      </w:r>
      <w:r w:rsidR="00E1225C">
        <w:rPr>
          <w:rFonts w:ascii="Times New Roman" w:hAnsi="Times New Roman" w:cs="Times New Roman"/>
          <w:noProof/>
          <w:sz w:val="24"/>
          <w:szCs w:val="24"/>
          <w:lang w:eastAsia="hu-HU"/>
        </w:rPr>
        <w:t xml:space="preserve">érkező válaszok adattartalma szerint megegyezik az Okmányadatokon belül leírtakkal, de ezek a törzykönyvre vonatkoznak. </w:t>
      </w:r>
    </w:p>
    <w:p w:rsidR="00DD22C8" w:rsidRDefault="00DD22C8" w:rsidP="00DD22C8">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t>Személyi okmányok:</w:t>
      </w:r>
    </w:p>
    <w:p w:rsidR="00487C0E" w:rsidRPr="00DD22C8" w:rsidRDefault="00DD22C8" w:rsidP="00DD22C8">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w:t>
      </w:r>
    </w:p>
    <w:p w:rsidR="00A14A4B" w:rsidRPr="00A14A4B" w:rsidRDefault="00A14A4B" w:rsidP="00A14A4B">
      <w:pPr>
        <w:spacing w:before="240" w:line="360" w:lineRule="auto"/>
        <w:jc w:val="both"/>
        <w:rPr>
          <w:rFonts w:ascii="Times New Roman" w:hAnsi="Times New Roman" w:cstheme="minorHAnsi"/>
          <w:b/>
          <w:smallCaps/>
          <w:sz w:val="24"/>
          <w:szCs w:val="24"/>
        </w:rPr>
      </w:pPr>
    </w:p>
    <w:sectPr w:rsidR="00A14A4B" w:rsidRPr="00A14A4B" w:rsidSect="00CC3914">
      <w:footerReference w:type="default" r:id="rId1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BC" w:rsidRDefault="00651DBC">
      <w:pPr>
        <w:spacing w:after="0" w:line="240" w:lineRule="auto"/>
      </w:pPr>
      <w:r>
        <w:separator/>
      </w:r>
    </w:p>
  </w:endnote>
  <w:endnote w:type="continuationSeparator" w:id="0">
    <w:p w:rsidR="00651DBC" w:rsidRDefault="00651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439091"/>
      <w:docPartObj>
        <w:docPartGallery w:val="Page Numbers (Bottom of Page)"/>
        <w:docPartUnique/>
      </w:docPartObj>
    </w:sdtPr>
    <w:sdtEndPr/>
    <w:sdtContent>
      <w:p w:rsidR="00044171" w:rsidRDefault="00C238AA">
        <w:pPr>
          <w:pStyle w:val="llb"/>
          <w:jc w:val="right"/>
        </w:pPr>
      </w:p>
    </w:sdtContent>
  </w:sdt>
  <w:p w:rsidR="005E0FDE" w:rsidRDefault="005E0FD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Pr="008124E2" w:rsidRDefault="007F5EC7" w:rsidP="005E0FDE">
    <w:pPr>
      <w:pStyle w:val="llb"/>
      <w:jc w:val="right"/>
      <w:rPr>
        <w:rFonts w:ascii="Times New Roman" w:hAnsi="Times New Roman" w:cs="Times New Roman"/>
        <w:sz w:val="24"/>
        <w:szCs w:val="24"/>
      </w:rPr>
    </w:pPr>
    <w:r w:rsidRPr="008124E2">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912811"/>
      <w:docPartObj>
        <w:docPartGallery w:val="Page Numbers (Bottom of Page)"/>
        <w:docPartUnique/>
      </w:docPartObj>
    </w:sdtPr>
    <w:sdtEndPr/>
    <w:sdtContent>
      <w:p w:rsidR="00044171" w:rsidRDefault="00044171">
        <w:pPr>
          <w:pStyle w:val="llb"/>
          <w:jc w:val="right"/>
        </w:pPr>
        <w:r>
          <w:fldChar w:fldCharType="begin"/>
        </w:r>
        <w:r>
          <w:instrText>PAGE   \* MERGEFORMAT</w:instrText>
        </w:r>
        <w:r>
          <w:fldChar w:fldCharType="separate"/>
        </w:r>
        <w:r w:rsidR="00C238AA">
          <w:rPr>
            <w:noProof/>
          </w:rPr>
          <w:t>1</w:t>
        </w:r>
        <w:r>
          <w:fldChar w:fldCharType="end"/>
        </w:r>
      </w:p>
    </w:sdtContent>
  </w:sdt>
  <w:p w:rsidR="00044171" w:rsidRDefault="0004417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BC" w:rsidRDefault="00651DBC">
      <w:pPr>
        <w:spacing w:after="0" w:line="240" w:lineRule="auto"/>
      </w:pPr>
      <w:r>
        <w:separator/>
      </w:r>
    </w:p>
  </w:footnote>
  <w:footnote w:type="continuationSeparator" w:id="0">
    <w:p w:rsidR="00651DBC" w:rsidRDefault="00651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Default="007F5EC7" w:rsidP="005E0FDE">
    <w:pPr>
      <w:pStyle w:val="lfej"/>
      <w:tabs>
        <w:tab w:val="clear" w:pos="4536"/>
        <w:tab w:val="clear" w:pos="9072"/>
        <w:tab w:val="left" w:pos="269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37367C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7"/>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121C5"/>
    <w:rsid w:val="00014093"/>
    <w:rsid w:val="00014115"/>
    <w:rsid w:val="00044171"/>
    <w:rsid w:val="000A1AE9"/>
    <w:rsid w:val="000A371F"/>
    <w:rsid w:val="001271E4"/>
    <w:rsid w:val="00133D3A"/>
    <w:rsid w:val="001B0602"/>
    <w:rsid w:val="001D1152"/>
    <w:rsid w:val="001E60A7"/>
    <w:rsid w:val="002069BB"/>
    <w:rsid w:val="002C4395"/>
    <w:rsid w:val="00312B0C"/>
    <w:rsid w:val="003179BA"/>
    <w:rsid w:val="00350601"/>
    <w:rsid w:val="00367ADB"/>
    <w:rsid w:val="00375F78"/>
    <w:rsid w:val="00396216"/>
    <w:rsid w:val="003B091D"/>
    <w:rsid w:val="003D505A"/>
    <w:rsid w:val="003E6E77"/>
    <w:rsid w:val="003F0731"/>
    <w:rsid w:val="0040229D"/>
    <w:rsid w:val="00404367"/>
    <w:rsid w:val="004448D3"/>
    <w:rsid w:val="00455A73"/>
    <w:rsid w:val="00487C0E"/>
    <w:rsid w:val="004A7A29"/>
    <w:rsid w:val="004F2C51"/>
    <w:rsid w:val="00585E86"/>
    <w:rsid w:val="00592279"/>
    <w:rsid w:val="005D3477"/>
    <w:rsid w:val="005E0FDE"/>
    <w:rsid w:val="0060717F"/>
    <w:rsid w:val="00651DBC"/>
    <w:rsid w:val="006539BF"/>
    <w:rsid w:val="00665E83"/>
    <w:rsid w:val="00697B8A"/>
    <w:rsid w:val="006A2BE1"/>
    <w:rsid w:val="006A50E7"/>
    <w:rsid w:val="00706F5F"/>
    <w:rsid w:val="0071188C"/>
    <w:rsid w:val="00717FAE"/>
    <w:rsid w:val="00743FE6"/>
    <w:rsid w:val="00753DAB"/>
    <w:rsid w:val="007A7D13"/>
    <w:rsid w:val="007B7C50"/>
    <w:rsid w:val="007C5458"/>
    <w:rsid w:val="007F5EC7"/>
    <w:rsid w:val="008F36B2"/>
    <w:rsid w:val="00924002"/>
    <w:rsid w:val="00930A38"/>
    <w:rsid w:val="00952821"/>
    <w:rsid w:val="009836A8"/>
    <w:rsid w:val="00995026"/>
    <w:rsid w:val="009A1F2F"/>
    <w:rsid w:val="009A27FD"/>
    <w:rsid w:val="009F361B"/>
    <w:rsid w:val="00A064AF"/>
    <w:rsid w:val="00A14A4B"/>
    <w:rsid w:val="00A23823"/>
    <w:rsid w:val="00A36687"/>
    <w:rsid w:val="00A61B1D"/>
    <w:rsid w:val="00AF795D"/>
    <w:rsid w:val="00B107DB"/>
    <w:rsid w:val="00B56A1A"/>
    <w:rsid w:val="00B94FEB"/>
    <w:rsid w:val="00BB2A05"/>
    <w:rsid w:val="00BC1D26"/>
    <w:rsid w:val="00C06CA2"/>
    <w:rsid w:val="00C21A03"/>
    <w:rsid w:val="00C238AA"/>
    <w:rsid w:val="00C75D8C"/>
    <w:rsid w:val="00C90A84"/>
    <w:rsid w:val="00C9666F"/>
    <w:rsid w:val="00CC16FA"/>
    <w:rsid w:val="00CC3914"/>
    <w:rsid w:val="00CD6CE7"/>
    <w:rsid w:val="00CE6C71"/>
    <w:rsid w:val="00D00AF4"/>
    <w:rsid w:val="00D3757D"/>
    <w:rsid w:val="00D46DC7"/>
    <w:rsid w:val="00D80F93"/>
    <w:rsid w:val="00DD22C8"/>
    <w:rsid w:val="00DD41AA"/>
    <w:rsid w:val="00DD5260"/>
    <w:rsid w:val="00DE5B74"/>
    <w:rsid w:val="00DF7E0C"/>
    <w:rsid w:val="00E0246E"/>
    <w:rsid w:val="00E1225C"/>
    <w:rsid w:val="00E228A3"/>
    <w:rsid w:val="00E750B3"/>
    <w:rsid w:val="00F1202B"/>
    <w:rsid w:val="00F558CF"/>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99ADEC"/>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99F3-CA59-4F08-ABCE-22E03A57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9</Pages>
  <Words>2247</Words>
  <Characters>15505</Characters>
  <Application>Microsoft Office Word</Application>
  <DocSecurity>0</DocSecurity>
  <Lines>129</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38</cp:revision>
  <dcterms:created xsi:type="dcterms:W3CDTF">2018-03-22T18:23:00Z</dcterms:created>
  <dcterms:modified xsi:type="dcterms:W3CDTF">2018-04-13T10:25:00Z</dcterms:modified>
</cp:coreProperties>
</file>