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AA" w:rsidRPr="00C818AA" w:rsidRDefault="00C818AA" w:rsidP="00C818AA">
      <w:pPr>
        <w:spacing w:after="40" w:line="264" w:lineRule="auto"/>
        <w:ind w:firstLine="397"/>
        <w:jc w:val="center"/>
        <w:outlineLvl w:val="0"/>
        <w:rPr>
          <w:rFonts w:ascii="Book Antiqua" w:eastAsia="Times New Roman" w:hAnsi="Book Antiqua" w:cs="Times New Roman"/>
          <w:b/>
          <w:sz w:val="19"/>
          <w:szCs w:val="19"/>
          <w:lang w:val="x-none" w:eastAsia="x-none"/>
        </w:rPr>
      </w:pPr>
      <w:r w:rsidRPr="00C818AA">
        <w:rPr>
          <w:rFonts w:ascii="Book Antiqua" w:eastAsia="Times New Roman" w:hAnsi="Book Antiqua" w:cs="Times New Roman"/>
          <w:b/>
          <w:sz w:val="19"/>
          <w:szCs w:val="19"/>
          <w:lang w:val="x-none" w:eastAsia="x-none"/>
        </w:rPr>
        <w:t xml:space="preserve">II. ATATÜRK DÖNEMİ TÜRK DIŞ POLİTİKASI </w:t>
      </w:r>
    </w:p>
    <w:p w:rsidR="00C818AA" w:rsidRPr="00C818AA" w:rsidRDefault="00C818AA" w:rsidP="00C818AA">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0" w:name="_Toc396133541"/>
      <w:r w:rsidRPr="00C818AA">
        <w:rPr>
          <w:rFonts w:ascii="Minion Pro" w:eastAsia="Times New Roman" w:hAnsi="Minion Pro" w:cs="Times New Roman"/>
          <w:b/>
          <w:sz w:val="20"/>
          <w:szCs w:val="20"/>
          <w:lang w:val="x-none" w:eastAsia="x-none"/>
        </w:rPr>
        <w:t>1. Türkiye’nin Milletler Cemiyetine Girişi</w:t>
      </w:r>
      <w:bookmarkEnd w:id="0"/>
      <w:r w:rsidRPr="00C818AA">
        <w:rPr>
          <w:rFonts w:ascii="Minion Pro" w:eastAsia="Times New Roman" w:hAnsi="Minion Pro" w:cs="Times New Roman"/>
          <w:b/>
          <w:sz w:val="20"/>
          <w:szCs w:val="20"/>
          <w:lang w:val="x-none" w:eastAsia="x-none"/>
        </w:rPr>
        <w:t xml:space="preserve">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 Türkiye 1930’a kadar özellikle Musul meselesindeki kararlarından dolayı Milletler Cemiyeti’ni güvenilir bir teşkilat olarak görmüyordu. Ancak Avrupa’da ikinci dünya savaşı öncesi devletlerin harekete geçmesi, sınırların yeniden düzenlenmek istemesi Türkiye Cumhuriyeti’ni kendisi gibi barıştan yana olan Milletler Cemiyetine yaklaştırmıştır. Türkiye muhtemel bir savaş durumunda anti </w:t>
      </w:r>
      <w:proofErr w:type="gramStart"/>
      <w:r w:rsidRPr="00C818AA">
        <w:rPr>
          <w:rFonts w:ascii="Book Antiqua" w:eastAsia="Times New Roman" w:hAnsi="Book Antiqua" w:cs="Times New Roman"/>
          <w:sz w:val="19"/>
          <w:szCs w:val="19"/>
          <w:lang w:eastAsia="tr-TR"/>
        </w:rPr>
        <w:t>revizyonist</w:t>
      </w:r>
      <w:proofErr w:type="gramEnd"/>
      <w:r w:rsidRPr="00C818AA">
        <w:rPr>
          <w:rFonts w:ascii="Book Antiqua" w:eastAsia="Times New Roman" w:hAnsi="Book Antiqua" w:cs="Times New Roman"/>
          <w:sz w:val="19"/>
          <w:szCs w:val="19"/>
          <w:lang w:eastAsia="tr-TR"/>
        </w:rPr>
        <w:t xml:space="preserve"> devletlerin  (sınırların yeniden düzenlenmesine karşı olan devletler) yanında yer alacaktır.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Milletler Cemiyetinin 6 Temmuz 1932’de silahsızlanma konusunu görüşmek üzere toplandığı bir sırada, İspanya temsilcisinin teklifi, Yunan temsilcisinin desteği ile Türkiye’nin Milletler Cemiyetine davet edilmesini öngören karar tasarısı kabul edilmişti. Teklif </w:t>
      </w:r>
      <w:proofErr w:type="spellStart"/>
      <w:r w:rsidRPr="00C818AA">
        <w:rPr>
          <w:rFonts w:ascii="Book Antiqua" w:eastAsia="Times New Roman" w:hAnsi="Book Antiqua" w:cs="Times New Roman"/>
          <w:sz w:val="19"/>
          <w:szCs w:val="19"/>
          <w:lang w:eastAsia="tr-TR"/>
        </w:rPr>
        <w:t>T.B.M.M.’de</w:t>
      </w:r>
      <w:proofErr w:type="spellEnd"/>
      <w:r w:rsidRPr="00C818AA">
        <w:rPr>
          <w:rFonts w:ascii="Book Antiqua" w:eastAsia="Times New Roman" w:hAnsi="Book Antiqua" w:cs="Times New Roman"/>
          <w:sz w:val="19"/>
          <w:szCs w:val="19"/>
          <w:lang w:eastAsia="tr-TR"/>
        </w:rPr>
        <w:t xml:space="preserve"> tartışılıp görüşüldükten sonra 18 Temmuz 1932’de, her türlü haksız kararlarına rağmen, barışçı yolda olduğundan, Milletler Cemiyeti’ne üye olunması kabul edilmişti. Ancak üye olmadan önce Cemiyetin kararlaştıracağı zorlama önlemlerine, askerî ve coğrafi durumuyla bağdaşacak bir ölçüde katılabileceği yolunda bir çekince ileri sürmüş bulunmaktadır. </w:t>
      </w:r>
    </w:p>
    <w:p w:rsidR="00C818AA" w:rsidRPr="00C818AA" w:rsidRDefault="00C818AA" w:rsidP="00C818AA">
      <w:pPr>
        <w:spacing w:after="40" w:line="264" w:lineRule="auto"/>
        <w:ind w:firstLine="397"/>
        <w:jc w:val="both"/>
        <w:rPr>
          <w:rFonts w:ascii="Book Antiqua" w:eastAsia="Times New Roman" w:hAnsi="Book Antiqua" w:cs="Times New Roman"/>
          <w:b/>
          <w:sz w:val="19"/>
          <w:szCs w:val="19"/>
          <w:lang w:eastAsia="tr-TR"/>
        </w:rPr>
      </w:pPr>
      <w:r w:rsidRPr="00C818AA">
        <w:rPr>
          <w:rFonts w:ascii="Book Antiqua" w:eastAsia="Times New Roman" w:hAnsi="Book Antiqua" w:cs="Times New Roman"/>
          <w:sz w:val="19"/>
          <w:szCs w:val="19"/>
        </w:rPr>
        <w:t>Türkiye Milletler Cemiyeti’ne girdikten sonra barış ve ortak güvenlik için bütün gücüyle çalışmış, saldırgan devletlere karşı alınan önlemlere tereddüt etmekten kaçınmıştır.</w:t>
      </w:r>
      <w:r w:rsidRPr="00C818AA">
        <w:rPr>
          <w:rFonts w:ascii="Book Antiqua" w:eastAsia="Times New Roman" w:hAnsi="Book Antiqua" w:cs="Times New Roman"/>
          <w:sz w:val="19"/>
          <w:szCs w:val="19"/>
          <w:lang w:eastAsia="tr-TR"/>
        </w:rPr>
        <w:t xml:space="preserve"> </w:t>
      </w:r>
    </w:p>
    <w:p w:rsidR="00C818AA" w:rsidRPr="00C818AA" w:rsidRDefault="00C818AA" w:rsidP="00C818AA">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1" w:name="_Toc396133542"/>
      <w:r w:rsidRPr="00C818AA">
        <w:rPr>
          <w:rFonts w:ascii="Minion Pro" w:eastAsia="Times New Roman" w:hAnsi="Minion Pro" w:cs="Times New Roman"/>
          <w:b/>
          <w:sz w:val="20"/>
          <w:szCs w:val="20"/>
          <w:lang w:val="x-none" w:eastAsia="x-none"/>
        </w:rPr>
        <w:t>2. Balkan Paktı</w:t>
      </w:r>
      <w:bookmarkEnd w:id="1"/>
      <w:r w:rsidRPr="00C818AA">
        <w:rPr>
          <w:rFonts w:ascii="Minion Pro" w:eastAsia="Times New Roman" w:hAnsi="Minion Pro" w:cs="Times New Roman"/>
          <w:b/>
          <w:sz w:val="20"/>
          <w:szCs w:val="20"/>
          <w:lang w:val="x-none" w:eastAsia="x-none"/>
        </w:rPr>
        <w:t xml:space="preserve">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Birinci Dünya Savaşı’ndan sonra Avrupa haritası yeniden çizilmişti. Barış antlaşmaları imzalanmakla birlikte savaşta tam olarak istediğini elde edememiş ve mağlup olarak ayrılmış olan devletlerin dış politikalarında </w:t>
      </w:r>
      <w:proofErr w:type="gramStart"/>
      <w:r w:rsidRPr="00C818AA">
        <w:rPr>
          <w:rFonts w:ascii="Book Antiqua" w:eastAsia="Times New Roman" w:hAnsi="Book Antiqua" w:cs="Times New Roman"/>
          <w:sz w:val="19"/>
          <w:szCs w:val="19"/>
          <w:lang w:eastAsia="tr-TR"/>
        </w:rPr>
        <w:t>revizyonist</w:t>
      </w:r>
      <w:proofErr w:type="gramEnd"/>
      <w:r w:rsidRPr="00C818AA">
        <w:rPr>
          <w:rFonts w:ascii="Book Antiqua" w:eastAsia="Times New Roman" w:hAnsi="Book Antiqua" w:cs="Times New Roman"/>
          <w:sz w:val="19"/>
          <w:szCs w:val="19"/>
          <w:lang w:eastAsia="tr-TR"/>
        </w:rPr>
        <w:t xml:space="preserve"> bir tutum izlemeleri balkan devletlerini işbirliğine zorlamıştır. 1929 ekonomik krizi de balkan devletlerini birbirine yaklaştıran ikinci bir etken olacaktır.</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Balkan devletlerinin 1925-1929 yılları arasında kendi aralarındaki problemleri çözmelerinden sonra Balkanlar’da işbirliğinin sağlanması adına Türkiye, Yunanistan, Bulgaristan, Yugoslavya, Romanya ve Arnavutluk arasında 1930-1933 yılları arasında ardı ardına dört Balkan Konferansı düzenlenmiştir. Bu konferanslar Balkan Paktı’nın temelini oluşturur.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Özellikle </w:t>
      </w:r>
      <w:proofErr w:type="spellStart"/>
      <w:r w:rsidRPr="00C818AA">
        <w:rPr>
          <w:rFonts w:ascii="Book Antiqua" w:eastAsia="Times New Roman" w:hAnsi="Book Antiqua" w:cs="Times New Roman"/>
          <w:sz w:val="19"/>
          <w:szCs w:val="19"/>
          <w:lang w:eastAsia="tr-TR"/>
        </w:rPr>
        <w:t>Mussolini’nin</w:t>
      </w:r>
      <w:proofErr w:type="spellEnd"/>
      <w:r w:rsidRPr="00C818AA">
        <w:rPr>
          <w:rFonts w:ascii="Book Antiqua" w:eastAsia="Times New Roman" w:hAnsi="Book Antiqua" w:cs="Times New Roman"/>
          <w:sz w:val="19"/>
          <w:szCs w:val="19"/>
          <w:lang w:eastAsia="tr-TR"/>
        </w:rPr>
        <w:t xml:space="preserve"> Akdeniz’deki emperyalist amaçları, Balkanlarda Türk-Yunan yakınlaşmasını pekiştirmişti. Balkan Paktı’nın kurulması fikrini ilk kez Dünya Barışı Derneğinin 6-10 Ekim 1929’da Atina’da yaptığı toplantıda, Yunan Başbakanı </w:t>
      </w:r>
      <w:proofErr w:type="spellStart"/>
      <w:r w:rsidRPr="00C818AA">
        <w:rPr>
          <w:rFonts w:ascii="Book Antiqua" w:eastAsia="Times New Roman" w:hAnsi="Book Antiqua" w:cs="Times New Roman"/>
          <w:sz w:val="19"/>
          <w:szCs w:val="19"/>
          <w:lang w:eastAsia="tr-TR"/>
        </w:rPr>
        <w:t>Papanastasru</w:t>
      </w:r>
      <w:proofErr w:type="spellEnd"/>
      <w:r w:rsidRPr="00C818AA">
        <w:rPr>
          <w:rFonts w:ascii="Book Antiqua" w:eastAsia="Times New Roman" w:hAnsi="Book Antiqua" w:cs="Times New Roman"/>
          <w:sz w:val="19"/>
          <w:szCs w:val="19"/>
          <w:lang w:eastAsia="tr-TR"/>
        </w:rPr>
        <w:t xml:space="preserve">, ortaya atmıştır. Bu öneri bütün Balkan delegeleri tarafından kabul edildi. </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İlk Balkan Konferansı, bütün Balkan Devletleri’nin katılmasıyla 15 Ekim 1930’da Atina’da yapılmıştı. Bu konferansta alınan kararların 2. Maddesine göre “Savaşın yasaklanması, uyuşmazlıkların barış yoluşla çözülmesi ve bir tecavüz halinde karşılıklı yardımda bulunması için Bir Balkan Paktı” hazırlanacaktı.</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İkinci Balkan Konferansı Ekim 1931’de İstanbul’da olmuştu. Bu konferansta anti revizyonistlere karşı </w:t>
      </w:r>
      <w:proofErr w:type="gramStart"/>
      <w:r w:rsidRPr="00C818AA">
        <w:rPr>
          <w:rFonts w:ascii="Book Antiqua" w:eastAsia="Times New Roman" w:hAnsi="Book Antiqua" w:cs="Times New Roman"/>
          <w:sz w:val="19"/>
          <w:szCs w:val="19"/>
          <w:lang w:eastAsia="tr-TR"/>
        </w:rPr>
        <w:t>revizyonist</w:t>
      </w:r>
      <w:proofErr w:type="gramEnd"/>
      <w:r w:rsidRPr="00C818AA">
        <w:rPr>
          <w:rFonts w:ascii="Book Antiqua" w:eastAsia="Times New Roman" w:hAnsi="Book Antiqua" w:cs="Times New Roman"/>
          <w:sz w:val="19"/>
          <w:szCs w:val="19"/>
          <w:lang w:eastAsia="tr-TR"/>
        </w:rPr>
        <w:t xml:space="preserve"> tutumun ortaya çıkması, Balkan Paktı’nın hazırlanmasına engel olmuştu. Revizyonistlere yakın Bulgarlar, Balkan Paktı tasarısının ertelenmesi, aralarındaki anlaşmazlıkların ikili görüşmelerle çözülmesini istediler. </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23-26 Ekim 1932’de Bükreş’te yapılan üçüncü konferansta da, Bulgaristan, azınlık meselesinin kendi istekleri doğrultusunda halledilmemesini ileri sürerek konferansı terk edince sonuç alınamamıştı. </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Birinci Dünya Savaşı’ndan sonra imzalanan </w:t>
      </w:r>
      <w:proofErr w:type="spellStart"/>
      <w:r w:rsidRPr="00C818AA">
        <w:rPr>
          <w:rFonts w:ascii="Book Antiqua" w:eastAsia="Times New Roman" w:hAnsi="Book Antiqua" w:cs="Times New Roman"/>
          <w:sz w:val="19"/>
          <w:szCs w:val="19"/>
          <w:lang w:eastAsia="tr-TR"/>
        </w:rPr>
        <w:t>Nevilly</w:t>
      </w:r>
      <w:proofErr w:type="spellEnd"/>
      <w:r w:rsidRPr="00C818AA">
        <w:rPr>
          <w:rFonts w:ascii="Book Antiqua" w:eastAsia="Times New Roman" w:hAnsi="Book Antiqua" w:cs="Times New Roman"/>
          <w:sz w:val="19"/>
          <w:szCs w:val="19"/>
          <w:lang w:eastAsia="tr-TR"/>
        </w:rPr>
        <w:t xml:space="preserve"> Antlaşmasını kendi lehine değiştirmek isteyen ve </w:t>
      </w:r>
      <w:proofErr w:type="gramStart"/>
      <w:r w:rsidRPr="00C818AA">
        <w:rPr>
          <w:rFonts w:ascii="Book Antiqua" w:eastAsia="Times New Roman" w:hAnsi="Book Antiqua" w:cs="Times New Roman"/>
          <w:sz w:val="19"/>
          <w:szCs w:val="19"/>
          <w:lang w:eastAsia="tr-TR"/>
        </w:rPr>
        <w:t>revizyonist</w:t>
      </w:r>
      <w:proofErr w:type="gramEnd"/>
      <w:r w:rsidRPr="00C818AA">
        <w:rPr>
          <w:rFonts w:ascii="Book Antiqua" w:eastAsia="Times New Roman" w:hAnsi="Book Antiqua" w:cs="Times New Roman"/>
          <w:sz w:val="19"/>
          <w:szCs w:val="19"/>
          <w:lang w:eastAsia="tr-TR"/>
        </w:rPr>
        <w:t xml:space="preserve"> bir tutum sergileyen Bulgaristan bundan sonraki süreçte görüşmelere katılmayacaktır. 1933’de Almanya’da Nazi Partisi’nin iktidara geçmesi Balkan Devletleri’ni yeniden harekete geçirdi. Türkiye ve Yunanistan 14 Eylül 1933’te “Samimi Antlaşma </w:t>
      </w:r>
      <w:proofErr w:type="spellStart"/>
      <w:r w:rsidRPr="00C818AA">
        <w:rPr>
          <w:rFonts w:ascii="Book Antiqua" w:eastAsia="Times New Roman" w:hAnsi="Book Antiqua" w:cs="Times New Roman"/>
          <w:sz w:val="19"/>
          <w:szCs w:val="19"/>
          <w:lang w:eastAsia="tr-TR"/>
        </w:rPr>
        <w:t>Paktı”nı</w:t>
      </w:r>
      <w:proofErr w:type="spellEnd"/>
      <w:r w:rsidRPr="00C818AA">
        <w:rPr>
          <w:rFonts w:ascii="Book Antiqua" w:eastAsia="Times New Roman" w:hAnsi="Book Antiqua" w:cs="Times New Roman"/>
          <w:sz w:val="19"/>
          <w:szCs w:val="19"/>
          <w:lang w:eastAsia="tr-TR"/>
        </w:rPr>
        <w:t xml:space="preserve"> imzaladılar. Antlaşma 10 yıl için yapılmış ve 12 Mart 1934’te yürürlüğe girmişti. Türkiye ve Yunanistan diğer Balkan devletleriyle de sınır güvenliklerinin sağlanması için girişimde bulunma kararı aldılar. Bulgaristan ikna edilemediği için Yugoslavya ve Romanya ile temaslar kuruldu ve zincirleme antlaşmalar imzalandı. </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Türkiye 17 Ekim 1933’te Romanya, 27 Kasım 1933’te Belgrad’da Yugoslavya ile dostluk, saldırmazlık, hakem ve uzlaştırma antlaşmalarını imzalamıştı. Birbirine zincirleme bağlı olan bu antlaşmalar, Bulgaristan dışındaki devletler tarafından 9 Şubat 1934’de Balkan Antantının imzalanmasıyla neticelendi. </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Balkan Antantının temel hükmünü oluşturan 1.Maddesinde; “Dört Balkan Devleti, tüm Balkan sınırlarının güvenliğini karşılıklı olarak güvence altına alırlar” ifadesi yer alır. Bu ifade antlaşmanın; bir </w:t>
      </w:r>
      <w:r w:rsidRPr="00C818AA">
        <w:rPr>
          <w:rFonts w:ascii="Book Antiqua" w:eastAsia="Times New Roman" w:hAnsi="Book Antiqua" w:cs="Times New Roman"/>
          <w:sz w:val="19"/>
          <w:szCs w:val="19"/>
          <w:lang w:eastAsia="tr-TR"/>
        </w:rPr>
        <w:lastRenderedPageBreak/>
        <w:t xml:space="preserve">savunma ittifakı, bölgesel bir yardımlaşma paktı olduğu anlamı taşımaktaydı. Sadece saldırı durumunda yardımlaşmayı öngörmekteydi. </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Antantın 2.Maddesinde; olası tehlikeler karşısında Balkan Antantı üyeleri arasında siyasal danışmalar yapılmasını öngörülmüş, ayrıca başka bir Balkan Devletine (Bulgaristan, Arnavutluk) karşı, siyasi ilişkilerde uyum ve dayanışma isteği yer alır.</w:t>
      </w:r>
    </w:p>
    <w:p w:rsidR="00C818AA" w:rsidRPr="00C818AA" w:rsidRDefault="00C818AA" w:rsidP="00C818AA">
      <w:pPr>
        <w:spacing w:after="40" w:line="257"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3.Maddede ise; zorluklarla dolu geçen bir süreçte imzalanabilen Balkan Antantının, imzacı devletlerin meclislerinde onaylanıncaya kadar geçen süreçte yeni zorluklar çıkabileceği endişesiyle imzalanır imzalanmaz yürürlüğe konulması isteği belirtilmiştir.</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Bu kadar güçlüklerle oluşturulan Balkan Paktı ne yazık ki uzun ömürlü olmamıştır. İkinci Dünya savaşı öncesi ve savaş sırasındaki gelişmeler paktın dağılmasına sebep olacaktır. Türkiye dışındaki pakt üyelerinin gerek ekonomik gerekse siyasi olarak Almanya’nın nüfuz alanı içerisine girmeleri ve Milletler cemiyetinin yetersiz gayretleri paktın dağılmasına neden olmuştur.</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Türkiye Cumhuriyeti’nin beklentilerini tam olarak karşılamasa da pakta sadık kalarak dünya barışının korunması yolunda elinden geleni yapmıştır.</w:t>
      </w:r>
    </w:p>
    <w:p w:rsidR="00C818AA" w:rsidRPr="00C818AA" w:rsidRDefault="00C818AA" w:rsidP="00C818AA">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2" w:name="_Toc396133543"/>
      <w:r w:rsidRPr="00C818AA">
        <w:rPr>
          <w:rFonts w:ascii="Minion Pro" w:eastAsia="Times New Roman" w:hAnsi="Minion Pro" w:cs="Times New Roman"/>
          <w:b/>
          <w:sz w:val="20"/>
          <w:szCs w:val="20"/>
          <w:lang w:val="x-none" w:eastAsia="x-none"/>
        </w:rPr>
        <w:t>3. Montreux Boğazlar Sözleşmesi</w:t>
      </w:r>
      <w:bookmarkEnd w:id="2"/>
      <w:r w:rsidRPr="00C818AA">
        <w:rPr>
          <w:rFonts w:ascii="Minion Pro" w:eastAsia="Times New Roman" w:hAnsi="Minion Pro" w:cs="Times New Roman"/>
          <w:b/>
          <w:sz w:val="20"/>
          <w:szCs w:val="20"/>
          <w:lang w:val="x-none" w:eastAsia="x-none"/>
        </w:rPr>
        <w:t xml:space="preserve">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Boğazlar meselesi, Lozan Barış Antlaşması’nda Misak-ı Milli çerçevesinde çözümlenememişti. Türkiye Boğazlar ile ilgili hükümleri, güvenlik konusunda Milletler Cemiyetinin etkili olacağı ve Avrupa’da silahsızlanmanın gerçekleşeceği ümidi </w:t>
      </w:r>
      <w:proofErr w:type="gramStart"/>
      <w:r w:rsidRPr="00C818AA">
        <w:rPr>
          <w:rFonts w:ascii="Book Antiqua" w:eastAsia="Times New Roman" w:hAnsi="Book Antiqua" w:cs="Times New Roman"/>
          <w:sz w:val="19"/>
          <w:szCs w:val="19"/>
          <w:lang w:eastAsia="tr-TR"/>
        </w:rPr>
        <w:t>ile,</w:t>
      </w:r>
      <w:proofErr w:type="gramEnd"/>
      <w:r w:rsidRPr="00C818AA">
        <w:rPr>
          <w:rFonts w:ascii="Book Antiqua" w:eastAsia="Times New Roman" w:hAnsi="Book Antiqua" w:cs="Times New Roman"/>
          <w:sz w:val="19"/>
          <w:szCs w:val="19"/>
          <w:lang w:eastAsia="tr-TR"/>
        </w:rPr>
        <w:t xml:space="preserve"> kabul etmiştir. Bu antlaşmaya göre tespit edilen esaslar 1930 sonrası dönemdeki gelişmelerle önemli sorunlar olarak karşımıza çıkmıştır</w:t>
      </w:r>
      <w:proofErr w:type="gramStart"/>
      <w:r w:rsidRPr="00C818AA">
        <w:rPr>
          <w:rFonts w:ascii="Book Antiqua" w:eastAsia="Times New Roman" w:hAnsi="Book Antiqua" w:cs="Times New Roman"/>
          <w:sz w:val="19"/>
          <w:szCs w:val="19"/>
          <w:lang w:eastAsia="tr-TR"/>
        </w:rPr>
        <w:t>..</w:t>
      </w:r>
      <w:proofErr w:type="gramEnd"/>
      <w:r w:rsidRPr="00C818AA">
        <w:rPr>
          <w:rFonts w:ascii="Book Antiqua" w:eastAsia="Times New Roman" w:hAnsi="Book Antiqua" w:cs="Times New Roman"/>
          <w:sz w:val="19"/>
          <w:szCs w:val="19"/>
          <w:lang w:eastAsia="tr-TR"/>
        </w:rPr>
        <w:t xml:space="preserve"> Bu sorunların </w:t>
      </w:r>
      <w:proofErr w:type="spellStart"/>
      <w:r w:rsidRPr="00C818AA">
        <w:rPr>
          <w:rFonts w:ascii="Book Antiqua" w:eastAsia="Times New Roman" w:hAnsi="Book Antiqua" w:cs="Times New Roman"/>
          <w:sz w:val="19"/>
          <w:szCs w:val="19"/>
          <w:lang w:eastAsia="tr-TR"/>
        </w:rPr>
        <w:t>başlıcaları</w:t>
      </w:r>
      <w:proofErr w:type="spellEnd"/>
      <w:r w:rsidRPr="00C818AA">
        <w:rPr>
          <w:rFonts w:ascii="Book Antiqua" w:eastAsia="Times New Roman" w:hAnsi="Book Antiqua" w:cs="Times New Roman"/>
          <w:sz w:val="19"/>
          <w:szCs w:val="19"/>
          <w:lang w:eastAsia="tr-TR"/>
        </w:rPr>
        <w:t xml:space="preserve"> şunlardı.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Boğazların etrafında belirli bir bölgenin askerlikten arındırılmış olması. Bir savaş tehlikesi karşısında herhangi bir devletin savaş gemilerinin boğazlardan geçmesine bir engel yoktu. Türk devletinin buraları koruma </w:t>
      </w:r>
      <w:proofErr w:type="gramStart"/>
      <w:r w:rsidRPr="00C818AA">
        <w:rPr>
          <w:rFonts w:ascii="Book Antiqua" w:eastAsia="Times New Roman" w:hAnsi="Book Antiqua" w:cs="Times New Roman"/>
          <w:sz w:val="19"/>
          <w:szCs w:val="19"/>
          <w:lang w:eastAsia="tr-TR"/>
        </w:rPr>
        <w:t>imkanı</w:t>
      </w:r>
      <w:proofErr w:type="gramEnd"/>
      <w:r w:rsidRPr="00C818AA">
        <w:rPr>
          <w:rFonts w:ascii="Book Antiqua" w:eastAsia="Times New Roman" w:hAnsi="Book Antiqua" w:cs="Times New Roman"/>
          <w:sz w:val="19"/>
          <w:szCs w:val="19"/>
          <w:lang w:eastAsia="tr-TR"/>
        </w:rPr>
        <w:t xml:space="preserve"> yoktu. Diğer taraftan Türkiye’nin girmediği bir savaşta bile savaşa </w:t>
      </w:r>
      <w:proofErr w:type="gramStart"/>
      <w:r w:rsidRPr="00C818AA">
        <w:rPr>
          <w:rFonts w:ascii="Book Antiqua" w:eastAsia="Times New Roman" w:hAnsi="Book Antiqua" w:cs="Times New Roman"/>
          <w:sz w:val="19"/>
          <w:szCs w:val="19"/>
          <w:lang w:eastAsia="tr-TR"/>
        </w:rPr>
        <w:t>dahil</w:t>
      </w:r>
      <w:proofErr w:type="gramEnd"/>
      <w:r w:rsidRPr="00C818AA">
        <w:rPr>
          <w:rFonts w:ascii="Book Antiqua" w:eastAsia="Times New Roman" w:hAnsi="Book Antiqua" w:cs="Times New Roman"/>
          <w:sz w:val="19"/>
          <w:szCs w:val="19"/>
          <w:lang w:eastAsia="tr-TR"/>
        </w:rPr>
        <w:t xml:space="preserve"> ülke donanmalarının Boğazlardan geçmeleri ülkeyi savaş alanı içerisine sokabilirdi. Bu durumda Türkiye zorunlu olarak savaşa girebilirdi.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Boğazlardan yabancı gemilerin geçişine nezaret etmek için kurulan milletlerarası komisyonda Türkiye’nin egemenliğini sınırlıyordu.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1933 yılından itibaren Almanya ve İtalya’nın hızlı bir şekilde silahlanması ve Milletler Cemiyeti’ni bu durum karşısında bir çözüm üretememesi Türkiye’yi Boğazların güvenliği konusunda endişelendirdi. Türkiye uluslararası barış ve güvenliğin korunması yolundaki güçlüğü belirterek, 23 Mayıs 1933 Londra Silahsızlanma Konferansı'ndan itibaren, barışçı yollarla ilgili devletlere başvurarak Boğaz Sözleşmesini imzalandığı zaman siyasi ve askeri durumun farklı olması, Türkiye'de Milletler Cemiyeti'nin verdiği garantinin işleyememesi sebeplerinden ötürü, ilgili devletlerce uygun görülerek Boğazların statüsünü yeniden düzenlenmesini istedi. Bu istek üzerine 22 Haziran 1936'da Montreux'de bir konferans toplandı.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20 Temmuz 1936'da imzalanan Montreux Boğazlar Sözleşmesi, Lozan Boğazlar Sözleşmesi'nin yerini almıştır. Montreux ile Boğazlar Komisyonu, askersiz bölge üzerindeki sınırlamalar kaldırılarak bu bölgelerin de askerli hale getirilmesi kabul edilmiştir. Milletler Cemiyeti'nin yetersiz garantisi yerine, Türkiye kendi gücüne dayanabilmek ve Boğazlar üzerinde de savunmasını yapabilmek </w:t>
      </w:r>
      <w:proofErr w:type="gramStart"/>
      <w:r w:rsidRPr="00C818AA">
        <w:rPr>
          <w:rFonts w:ascii="Book Antiqua" w:eastAsia="Times New Roman" w:hAnsi="Book Antiqua" w:cs="Times New Roman"/>
          <w:sz w:val="19"/>
          <w:szCs w:val="19"/>
          <w:lang w:eastAsia="tr-TR"/>
        </w:rPr>
        <w:t>imkanına</w:t>
      </w:r>
      <w:proofErr w:type="gramEnd"/>
      <w:r w:rsidRPr="00C818AA">
        <w:rPr>
          <w:rFonts w:ascii="Book Antiqua" w:eastAsia="Times New Roman" w:hAnsi="Book Antiqua" w:cs="Times New Roman"/>
          <w:sz w:val="19"/>
          <w:szCs w:val="19"/>
          <w:lang w:eastAsia="tr-TR"/>
        </w:rPr>
        <w:t xml:space="preserve"> kavuşmuştur. Ayrıca, Boğazlardan geçiş ve ulaşım, hem Türkiye'nin hem de Karadeniz devletlerinin Karadeniz'deki güvenliğini koruyacak biçimde düzenlenmiştir.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Boğazların yeni statüsü sadece Türkiye için değil başta S.S.C.B olmak üzere Karadeniz’e kıyısı olan diğer devletlerin de güvenliğinin sağlanması açısından önemlidir. Bu antlaşma Türkiye’nin uluslararası güç dengesindeki önemini de artırdı.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Türkiye'nin, Boğazlar Sorununu, barışçı çözüm yollarıyla sonuçlandırması, büyük takdir uyandırmıştır.</w:t>
      </w:r>
    </w:p>
    <w:p w:rsidR="00C818AA" w:rsidRPr="00C818AA" w:rsidRDefault="00C818AA" w:rsidP="00C818AA">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3" w:name="_Toc396133544"/>
      <w:r w:rsidRPr="00C818AA">
        <w:rPr>
          <w:rFonts w:ascii="Minion Pro" w:eastAsia="Times New Roman" w:hAnsi="Minion Pro" w:cs="Times New Roman"/>
          <w:b/>
          <w:sz w:val="20"/>
          <w:szCs w:val="20"/>
          <w:lang w:val="x-none" w:eastAsia="x-none"/>
        </w:rPr>
        <w:t xml:space="preserve">4. </w:t>
      </w:r>
      <w:proofErr w:type="spellStart"/>
      <w:r w:rsidRPr="00C818AA">
        <w:rPr>
          <w:rFonts w:ascii="Minion Pro" w:eastAsia="Times New Roman" w:hAnsi="Minion Pro" w:cs="Times New Roman"/>
          <w:b/>
          <w:sz w:val="20"/>
          <w:szCs w:val="20"/>
          <w:lang w:val="x-none" w:eastAsia="x-none"/>
        </w:rPr>
        <w:t>Sadabat</w:t>
      </w:r>
      <w:proofErr w:type="spellEnd"/>
      <w:r w:rsidRPr="00C818AA">
        <w:rPr>
          <w:rFonts w:ascii="Minion Pro" w:eastAsia="Times New Roman" w:hAnsi="Minion Pro" w:cs="Times New Roman"/>
          <w:b/>
          <w:sz w:val="20"/>
          <w:szCs w:val="20"/>
          <w:lang w:val="x-none" w:eastAsia="x-none"/>
        </w:rPr>
        <w:t xml:space="preserve"> Paktı</w:t>
      </w:r>
      <w:bookmarkEnd w:id="3"/>
      <w:r w:rsidRPr="00C818AA">
        <w:rPr>
          <w:rFonts w:ascii="Minion Pro" w:eastAsia="Times New Roman" w:hAnsi="Minion Pro" w:cs="Times New Roman"/>
          <w:b/>
          <w:sz w:val="20"/>
          <w:szCs w:val="20"/>
          <w:lang w:val="x-none" w:eastAsia="x-none"/>
        </w:rPr>
        <w:t xml:space="preserve">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Türkiye, batılı devletlerle siyasi ilişkilerini güçlendirirken diğer yandan da doğudaki komşuları ile de iyi ilişkiler kurmak çabası sürdürüyordu. İtalya’nın Akdeniz Havzası ve Ortadoğu’ya yönelik saldırgan tutumu, Orta Doğu’da yeni bir tehlike ortaya çıkmıştı. Bu da Türkiye gibi, diğer Orta Doğu ülkelerini de endişelendirmişti. İtalya’nın Milletler Cemiyeti kararlarını İhlâl ederek Habeşistan’a saldırıda bulunması </w:t>
      </w:r>
      <w:r w:rsidRPr="00C818AA">
        <w:rPr>
          <w:rFonts w:ascii="Book Antiqua" w:eastAsia="Times New Roman" w:hAnsi="Book Antiqua" w:cs="Times New Roman"/>
          <w:sz w:val="19"/>
          <w:szCs w:val="19"/>
          <w:lang w:eastAsia="tr-TR"/>
        </w:rPr>
        <w:lastRenderedPageBreak/>
        <w:t xml:space="preserve">Türkiye’yi Doğulu devletlerle bir paktı kurma yoluna sevk etmişti. Bu yakınlaşma isteği, Milletler Cemiyeti İtalya’ya karşı önleyici tedbirler almayı düşünürken, 2 Ekim 1935’te Cenevre’de, Türkiye, Irak ve İran arasında üçlü bir antlaşmanın parafe edilmesi ile sonuçlandı. Ancak İran-Irak hudut anlaşmazlığından dolayı Paktın gerçekleşmesi bir süre gecikmişti. Nihayet 8 Temmuz 1937’de, İran Şah’ının yazlık sarayı </w:t>
      </w:r>
      <w:proofErr w:type="spellStart"/>
      <w:r w:rsidRPr="00C818AA">
        <w:rPr>
          <w:rFonts w:ascii="Book Antiqua" w:eastAsia="Times New Roman" w:hAnsi="Book Antiqua" w:cs="Times New Roman"/>
          <w:sz w:val="19"/>
          <w:szCs w:val="19"/>
          <w:lang w:eastAsia="tr-TR"/>
        </w:rPr>
        <w:t>Sadabat’ta</w:t>
      </w:r>
      <w:proofErr w:type="spellEnd"/>
      <w:r w:rsidRPr="00C818AA">
        <w:rPr>
          <w:rFonts w:ascii="Book Antiqua" w:eastAsia="Times New Roman" w:hAnsi="Book Antiqua" w:cs="Times New Roman"/>
          <w:sz w:val="19"/>
          <w:szCs w:val="19"/>
          <w:lang w:eastAsia="tr-TR"/>
        </w:rPr>
        <w:t xml:space="preserve"> Türkiye, İran, Irak ve Afganistan dörtlü işbirliği antlaşmasını imzaladılar.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Antlaşmanın 1. Maddesi ile içişlerine karışmama, 4 ve 5. Madde saldırmazlık, 6. Madde üçüncü devlete karşı saldırıya geçmeme, 7. Madde birbirine karşı gizli örgütleri kışkırtmama ve 8. Madde ile uyuşmazlıkların barışçı yolla çözümü gibi konular yer almıştır. Pakt beş yıl süreli olacak ve imzacı devletlerden biri tarafından bu sürenin sona ermesinden altı ay önce paktın feshi ihbarında bulunulmadıkça antlaşma yeniden beş yıl süreyle uzatılmış sayılacaktı. Buradan da anlaşılacağı üzere pakt daha çok bölgesel anlaşmazlıkların giderilmesini sağlayan bir mahiyettedir. Ekonomik ve kültürel işbirliğine yer verilmemişti. II. Dünya Savaşı başlayınca pakt dağılmıştır. </w:t>
      </w:r>
    </w:p>
    <w:p w:rsidR="00C818AA" w:rsidRPr="00C818AA" w:rsidRDefault="00C818AA" w:rsidP="00C818AA">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4" w:name="_Toc396133545"/>
      <w:r w:rsidRPr="00C818AA">
        <w:rPr>
          <w:rFonts w:ascii="Minion Pro" w:eastAsia="Times New Roman" w:hAnsi="Minion Pro" w:cs="Times New Roman"/>
          <w:b/>
          <w:sz w:val="20"/>
          <w:szCs w:val="20"/>
          <w:lang w:val="x-none" w:eastAsia="x-none"/>
        </w:rPr>
        <w:t>5. Hatay (Sancak) Meselesi</w:t>
      </w:r>
      <w:bookmarkEnd w:id="4"/>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Sancak meselesi 1936’dan itibaren, Türk dış politikasında önemli bir yer tutan ve Türk-Fransız ilişkilerini etkileyen meselelerin başında gelir. 20 Ekim 1921 tarihli Ankara Antlaşması ile Hatay ve çevresi özel şartlar </w:t>
      </w:r>
      <w:proofErr w:type="gramStart"/>
      <w:r w:rsidRPr="00C818AA">
        <w:rPr>
          <w:rFonts w:ascii="Book Antiqua" w:eastAsia="Times New Roman" w:hAnsi="Book Antiqua" w:cs="Times New Roman"/>
          <w:sz w:val="19"/>
          <w:szCs w:val="19"/>
          <w:lang w:eastAsia="tr-TR"/>
        </w:rPr>
        <w:t>dahilinde</w:t>
      </w:r>
      <w:proofErr w:type="gramEnd"/>
      <w:r w:rsidRPr="00C818AA">
        <w:rPr>
          <w:rFonts w:ascii="Book Antiqua" w:eastAsia="Times New Roman" w:hAnsi="Book Antiqua" w:cs="Times New Roman"/>
          <w:sz w:val="19"/>
          <w:szCs w:val="19"/>
          <w:lang w:eastAsia="tr-TR"/>
        </w:rPr>
        <w:t xml:space="preserve"> Fransa’ya bırakılmıştı. Antlaşmaya sancaktaki Türklerin çıkarlarını koruyacak ve bölgeye özerklik verilmesi için gerekli ortamı hazırlayacak hükümler konmuştu. 1921’de de İskenderun özerk Sancağını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Halep’e bağlamıştı. Türk devleti bu duruma itiraz etmiş 30 Mayıs 1926 tarihli dostluk ve iyi komşuluk çerçevesi içinde Suriye adına hareket eden Fransa ile bir sözleşme imzalamıştı. 1926’da, merkezi İskenderun olmak üzere özerk İskenderun Sancağı sınırları içinde doğrudan Beyrut’taki Fransız Yüksek Komiserliğine bağlı bir hükümetin kurulmasına karar verdi. Bunun üzerine seçimler ve bir anayasa yapıldı. Böylece Fransız mandası altında “Bağımsız İskenderun Hükümeti” kuruldu. Bu tarihten itibaren Fransa ile herhangi bir problemin çıkarılmaması için özen gösterilmiş ve Hatay, Fransa’ya idari özerklik altında emanet edilmişti.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Fransa 9 Eylül 1936’daki bir antlaşma ile manda idaresi kaldırılmış ve Suriye bağımsızlık için Fransa ile anlaşmıştı. Fransa bölgedeki, İskenderun da </w:t>
      </w:r>
      <w:proofErr w:type="gramStart"/>
      <w:r w:rsidRPr="00C818AA">
        <w:rPr>
          <w:rFonts w:ascii="Book Antiqua" w:eastAsia="Times New Roman" w:hAnsi="Book Antiqua" w:cs="Times New Roman"/>
          <w:sz w:val="19"/>
          <w:szCs w:val="19"/>
          <w:lang w:eastAsia="tr-TR"/>
        </w:rPr>
        <w:t>dahil</w:t>
      </w:r>
      <w:proofErr w:type="gramEnd"/>
      <w:r w:rsidRPr="00C818AA">
        <w:rPr>
          <w:rFonts w:ascii="Book Antiqua" w:eastAsia="Times New Roman" w:hAnsi="Book Antiqua" w:cs="Times New Roman"/>
          <w:sz w:val="19"/>
          <w:szCs w:val="19"/>
          <w:lang w:eastAsia="tr-TR"/>
        </w:rPr>
        <w:t xml:space="preserve">, bütün yetki ve haklarını Suriye Hükümetine devretti. Türk Hükümeti bunu kabul etmeyince konu Milletler Cemiyetine taşındı. Burada Fransa ile yapılan görüşmelerden sonuç alınamayınca 9 Ekim 1936’da İskenderun’a bağımsızlık verilmesi istendi.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Türkiye, Hatay konusunda çok kararlıydı. 1 Kasım 1936’da Atatürk Hatay’dan bahsederken “</w:t>
      </w:r>
      <w:r w:rsidRPr="00C818AA">
        <w:rPr>
          <w:rFonts w:ascii="Book Antiqua" w:eastAsia="Times New Roman" w:hAnsi="Book Antiqua" w:cs="Times New Roman"/>
          <w:i/>
          <w:sz w:val="19"/>
          <w:szCs w:val="19"/>
          <w:lang w:eastAsia="tr-TR"/>
        </w:rPr>
        <w:t>Bu sırada milletimizi gece gündüz meşgul eden başlıca büyük mesele, hakiki sahibi öz Türk olan İskenderun, Antakya ve havalisinin mukadderatıdır... Daima kendisiyle dostluğa çok ehemmiyet verdiğimiz Fransa ile aramızda tek ve büyük mesele budur. Bu işin hakikatini bilenler ve hakkı sevenler alakamızın şiddetini ve samimiyetini iyi anlar ve tabii görürler</w:t>
      </w:r>
      <w:r w:rsidRPr="00C818AA">
        <w:rPr>
          <w:rFonts w:ascii="Book Antiqua" w:eastAsia="Times New Roman" w:hAnsi="Book Antiqua" w:cs="Times New Roman"/>
          <w:sz w:val="19"/>
          <w:szCs w:val="19"/>
          <w:lang w:eastAsia="tr-TR"/>
        </w:rPr>
        <w:t xml:space="preserve">” deyip konuya verdiği önemi ortaya koydu. Ancak Fransa, Türk teklifini kabul etmeyince durum oldukça gerginleşti, Antakya’da kanlı olaylar oldu. Milletler Cemiyeti’nin kararının yürürlüğe girişini Fransız temsilcisi bir türlü kabul etmiyordu.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Türk hükümeti ve Cumhurbaşkanı Atatürk’ün bu mesele ile ilgili yaptığı açıklamalar sonrası gerekirse Türkiye’nin Hatay’a silahla müdahale edebileceğini Fransızlar da anlamışlardı. Milletler Cemiyeti ve İngiltere’nin yeniden araya girmesiyle 27 Ocak 1937 Cenevre toplantısında yeni bir statü kabul edildi. Buna göre Hatay içişlerinde serbest, dışişlerinde Suriye hükümetine bağlı olacak, Türkçe ve Arapça resmi dil olarak kabul edilecekti.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Taraflar arasında devam eden görüşmeler sonucunda, 27 Mayıs 1937’de hukuk bakımından Hatay, ayrı bir hüviyet kazanıyordu. Ama 1937 yaz aylarında yeni güçlükler ortaya çıktı. Milletler cemiyeti tarafından hazırlanan seçim sisteminde büyük yolsuzluklar oldu. Türkiye bu durumu protesto etti. Seçim sistemi yüzünden Türkiye ile Fransa arasındaki hava yeniden gerginleşti. Bu ortamda yeni bir açıklama yapmak zorunda kalan Atatürk “</w:t>
      </w:r>
      <w:r w:rsidRPr="00C818AA">
        <w:rPr>
          <w:rFonts w:ascii="Book Antiqua" w:eastAsia="Times New Roman" w:hAnsi="Book Antiqua" w:cs="Times New Roman"/>
          <w:i/>
          <w:sz w:val="19"/>
          <w:szCs w:val="19"/>
          <w:lang w:eastAsia="tr-TR"/>
        </w:rPr>
        <w:t xml:space="preserve">yarın sabah bir tümen asker yollasam Hatay’ı alabilirim. </w:t>
      </w:r>
      <w:proofErr w:type="spellStart"/>
      <w:r w:rsidRPr="00C818AA">
        <w:rPr>
          <w:rFonts w:ascii="Book Antiqua" w:eastAsia="Times New Roman" w:hAnsi="Book Antiqua" w:cs="Times New Roman"/>
          <w:i/>
          <w:sz w:val="19"/>
          <w:szCs w:val="19"/>
          <w:lang w:eastAsia="tr-TR"/>
        </w:rPr>
        <w:t>Renani</w:t>
      </w:r>
      <w:proofErr w:type="spellEnd"/>
      <w:r w:rsidRPr="00C818AA">
        <w:rPr>
          <w:rFonts w:ascii="Book Antiqua" w:eastAsia="Times New Roman" w:hAnsi="Book Antiqua" w:cs="Times New Roman"/>
          <w:i/>
          <w:sz w:val="19"/>
          <w:szCs w:val="19"/>
          <w:lang w:eastAsia="tr-TR"/>
        </w:rPr>
        <w:t xml:space="preserve"> için harekete geçmeyen Fransızlar, Suriye sancağı için bizimle harbe girmezler, bunu bilirim. Fakat... </w:t>
      </w:r>
      <w:proofErr w:type="gramStart"/>
      <w:r w:rsidRPr="00C818AA">
        <w:rPr>
          <w:rFonts w:ascii="Book Antiqua" w:eastAsia="Times New Roman" w:hAnsi="Book Antiqua" w:cs="Times New Roman"/>
          <w:i/>
          <w:sz w:val="19"/>
          <w:szCs w:val="19"/>
          <w:lang w:eastAsia="tr-TR"/>
        </w:rPr>
        <w:t>ben</w:t>
      </w:r>
      <w:proofErr w:type="gramEnd"/>
      <w:r w:rsidRPr="00C818AA">
        <w:rPr>
          <w:rFonts w:ascii="Book Antiqua" w:eastAsia="Times New Roman" w:hAnsi="Book Antiqua" w:cs="Times New Roman"/>
          <w:i/>
          <w:sz w:val="19"/>
          <w:szCs w:val="19"/>
          <w:lang w:eastAsia="tr-TR"/>
        </w:rPr>
        <w:t xml:space="preserve"> bir sancak için Türkiye’yi harbe sokmam” </w:t>
      </w:r>
      <w:r w:rsidRPr="00C818AA">
        <w:rPr>
          <w:rFonts w:ascii="Book Antiqua" w:eastAsia="Times New Roman" w:hAnsi="Book Antiqua" w:cs="Times New Roman"/>
          <w:sz w:val="19"/>
          <w:szCs w:val="19"/>
          <w:lang w:eastAsia="tr-TR"/>
        </w:rPr>
        <w:t xml:space="preserve">demişti. Fakat her ihtimale karşı 30 bin kişilik bir askeri kuvvetle hududa yığınak yapmayı da ihmal etmemişti. Bunun üzerine Fransa ısrarlı itirazlarından vazgeçti.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rPr>
      </w:pPr>
      <w:r w:rsidRPr="00C818AA">
        <w:rPr>
          <w:rFonts w:ascii="Book Antiqua" w:eastAsia="Times New Roman" w:hAnsi="Book Antiqua" w:cs="Times New Roman"/>
          <w:sz w:val="19"/>
          <w:szCs w:val="19"/>
        </w:rPr>
        <w:t xml:space="preserve">13 Mart 1938’de Almanya’nın Avusturya’yı işgal etmesi, Fransa’yı tedirgin etmişti. Avrupa’da savaş tehlikesinin iyice arttığı bir sırada Fransa Doğu Akdeniz güvenliği için boğazlara sahip olan Türkiye ile </w:t>
      </w:r>
      <w:r w:rsidRPr="00C818AA">
        <w:rPr>
          <w:rFonts w:ascii="Book Antiqua" w:eastAsia="Times New Roman" w:hAnsi="Book Antiqua" w:cs="Times New Roman"/>
          <w:sz w:val="19"/>
          <w:szCs w:val="19"/>
        </w:rPr>
        <w:lastRenderedPageBreak/>
        <w:t xml:space="preserve">dostluğun önemini anlamıştı. Bu sebeple Hatay meselesi için masa başına geldi. İki taraf 3 Temmuz 1938’de Sancak’ın siyasi bütünlüğünü müştereken korunması kararını aldılar. Öte yandan iki devlet arasında 4 Temmuz 1938’de Ankara’da dostluk anlaşması parafe edildi. Türkiye ve Fransa’nın denetiminde Ağustos ayında seçimler yapıldı. Seçimler sonunda Sancak meclisindeki 40 üyelikten 22’sini Türk tarafı almıştı. Resmi dilin Türkçe ve Arapça olarak kararlaştırıldı. Sancağa bağımsız devlet olarak Türkçe adıyla “Hatay” adını verildi. Hatay’ın bağımsız devlet olmasından sonra Türkiye ile Fransa arasındaki münasebetler süratle gelişti.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rPr>
      </w:pPr>
      <w:r w:rsidRPr="00C818AA">
        <w:rPr>
          <w:rFonts w:ascii="Book Antiqua" w:eastAsia="Times New Roman" w:hAnsi="Book Antiqua" w:cs="Times New Roman"/>
          <w:sz w:val="19"/>
          <w:szCs w:val="19"/>
        </w:rPr>
        <w:t xml:space="preserve">Hatay Devleti, bu şekilde bağımsızlığını kazandıktan sonra, Türkiye ile çok sıkı işbirliğine girdi. Türkiye Cumhuriyeti kanunlarını ve parasını kabul etti. Türkiye ile arasındaki gümrüğü kaldırdı. Bunların yanı Hatay Devleti yöneticileri Türkiye’ye katılmak isteğinde bulundular. Bunun gerçekleşmesi için çeşitli girişimlerde bulundular. Sonuçta, Hatay Millet Meclisi, 29 Haziran 1939’da yaptığı toplantıda Anavatana katılmak kararını aldı ve Hatay Devletine son verdi. Böylece Hatay anlaşmazlığı Türkiye’nin isteği doğrultusunda çözümlendi. </w:t>
      </w:r>
    </w:p>
    <w:p w:rsidR="00C818AA" w:rsidRPr="00C818AA" w:rsidRDefault="00C818AA" w:rsidP="00C818AA">
      <w:pPr>
        <w:spacing w:after="40" w:line="264" w:lineRule="auto"/>
        <w:ind w:firstLine="397"/>
        <w:jc w:val="both"/>
        <w:rPr>
          <w:rFonts w:ascii="Book Antiqua" w:eastAsia="Times New Roman" w:hAnsi="Book Antiqua" w:cs="Times New Roman"/>
          <w:sz w:val="19"/>
          <w:szCs w:val="19"/>
        </w:rPr>
      </w:pPr>
    </w:p>
    <w:p w:rsidR="00C818AA" w:rsidRPr="00C818AA" w:rsidRDefault="00C818AA" w:rsidP="00C818AA">
      <w:pPr>
        <w:spacing w:after="40" w:line="264" w:lineRule="auto"/>
        <w:jc w:val="center"/>
        <w:rPr>
          <w:rFonts w:ascii="Book Antiqua" w:eastAsia="Times New Roman" w:hAnsi="Book Antiqua" w:cs="Times New Roman"/>
          <w:sz w:val="19"/>
          <w:szCs w:val="19"/>
        </w:rPr>
      </w:pPr>
      <w:r>
        <w:rPr>
          <w:rFonts w:ascii="Book Antiqua" w:eastAsia="Times New Roman" w:hAnsi="Book Antiqua" w:cs="Times New Roman"/>
          <w:noProof/>
          <w:sz w:val="19"/>
          <w:szCs w:val="19"/>
          <w:lang w:eastAsia="tr-TR"/>
        </w:rPr>
        <w:drawing>
          <wp:inline distT="0" distB="0" distL="0" distR="0">
            <wp:extent cx="3870960" cy="1676400"/>
            <wp:effectExtent l="0" t="0" r="0" b="0"/>
            <wp:docPr id="1" name="Resim 1" descr="fft64_mf116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t64_mf11624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1676400"/>
                    </a:xfrm>
                    <a:prstGeom prst="rect">
                      <a:avLst/>
                    </a:prstGeom>
                    <a:noFill/>
                    <a:ln>
                      <a:noFill/>
                    </a:ln>
                  </pic:spPr>
                </pic:pic>
              </a:graphicData>
            </a:graphic>
          </wp:inline>
        </w:drawing>
      </w:r>
    </w:p>
    <w:p w:rsidR="00C818AA" w:rsidRPr="00C818AA" w:rsidRDefault="00C818AA" w:rsidP="00C818AA">
      <w:pPr>
        <w:spacing w:after="40" w:line="264" w:lineRule="auto"/>
        <w:ind w:firstLine="397"/>
        <w:jc w:val="both"/>
        <w:rPr>
          <w:rFonts w:ascii="Book Antiqua" w:eastAsia="Times New Roman" w:hAnsi="Book Antiqua" w:cs="Times New Roman"/>
          <w:sz w:val="19"/>
          <w:szCs w:val="19"/>
          <w:lang w:eastAsia="tr-TR"/>
        </w:rPr>
      </w:pPr>
      <w:r w:rsidRPr="00C818AA">
        <w:rPr>
          <w:rFonts w:ascii="Book Antiqua" w:eastAsia="Times New Roman" w:hAnsi="Book Antiqua" w:cs="Times New Roman"/>
          <w:sz w:val="19"/>
          <w:szCs w:val="19"/>
          <w:lang w:eastAsia="tr-TR"/>
        </w:rPr>
        <w:t xml:space="preserve">Hatay Devleti’nin aldığı Türkiye’ye katılma kararı üzerine, Türkiye Büyük Millet Meclisi çıkardığı özel bir kanunla, Hatay’ı anavatana </w:t>
      </w:r>
      <w:proofErr w:type="gramStart"/>
      <w:r w:rsidRPr="00C818AA">
        <w:rPr>
          <w:rFonts w:ascii="Book Antiqua" w:eastAsia="Times New Roman" w:hAnsi="Book Antiqua" w:cs="Times New Roman"/>
          <w:sz w:val="19"/>
          <w:szCs w:val="19"/>
          <w:lang w:eastAsia="tr-TR"/>
        </w:rPr>
        <w:t>dahil</w:t>
      </w:r>
      <w:proofErr w:type="gramEnd"/>
      <w:r w:rsidRPr="00C818AA">
        <w:rPr>
          <w:rFonts w:ascii="Book Antiqua" w:eastAsia="Times New Roman" w:hAnsi="Book Antiqua" w:cs="Times New Roman"/>
          <w:sz w:val="19"/>
          <w:szCs w:val="19"/>
          <w:lang w:eastAsia="tr-TR"/>
        </w:rPr>
        <w:t xml:space="preserve"> etti. Fransız askeri kuvvetleri de Hatay’dan çekildi. 23 Temmuz 1939 günü yapılan törenle de Hatay Türkiye’ye katıldı. </w:t>
      </w:r>
    </w:p>
    <w:p w:rsidR="00C818AA" w:rsidRPr="00C818AA" w:rsidRDefault="00C818AA" w:rsidP="00EE7822">
      <w:pPr>
        <w:spacing w:after="40" w:line="264" w:lineRule="auto"/>
        <w:ind w:firstLine="397"/>
        <w:jc w:val="center"/>
        <w:outlineLvl w:val="0"/>
        <w:rPr>
          <w:rFonts w:ascii="Book Antiqua" w:eastAsia="Times New Roman" w:hAnsi="Book Antiqua" w:cs="Times New Roman"/>
          <w:sz w:val="19"/>
          <w:szCs w:val="19"/>
          <w:lang w:eastAsia="tr-TR"/>
        </w:rPr>
      </w:pPr>
      <w:bookmarkStart w:id="5" w:name="_GoBack"/>
      <w:bookmarkEnd w:id="5"/>
      <w:r w:rsidRPr="00C818AA">
        <w:rPr>
          <w:rFonts w:ascii="Book Antiqua" w:eastAsia="Times New Roman" w:hAnsi="Book Antiqua" w:cs="Times New Roman"/>
          <w:b/>
          <w:sz w:val="19"/>
          <w:szCs w:val="19"/>
          <w:lang w:val="x-none" w:eastAsia="x-none"/>
        </w:rPr>
        <w:br w:type="page"/>
      </w:r>
      <w:r w:rsidRPr="00C818AA">
        <w:rPr>
          <w:rFonts w:ascii="Book Antiqua" w:eastAsia="Times New Roman" w:hAnsi="Book Antiqua" w:cs="Times New Roman"/>
          <w:sz w:val="19"/>
          <w:szCs w:val="19"/>
          <w:lang w:eastAsia="tr-TR"/>
        </w:rPr>
        <w:lastRenderedPageBreak/>
        <w:t xml:space="preserve"> </w:t>
      </w:r>
    </w:p>
    <w:p w:rsidR="00227A30" w:rsidRDefault="00227A30"/>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60"/>
    <w:rsid w:val="00227A30"/>
    <w:rsid w:val="00C818AA"/>
    <w:rsid w:val="00EE7822"/>
    <w:rsid w:val="00F811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5F73D5-B4C8-4A65-8311-2B98C9D9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C818AA"/>
    <w:pPr>
      <w:spacing w:after="160"/>
      <w:ind w:firstLine="567"/>
      <w:jc w:val="center"/>
      <w:outlineLvl w:val="0"/>
    </w:pPr>
    <w:rPr>
      <w:rFonts w:ascii="Verdana" w:eastAsia="Times New Roman" w:hAnsi="Verdana" w:cs="Times New Roman"/>
      <w:b/>
      <w:sz w:val="24"/>
      <w:szCs w:val="24"/>
      <w:lang w:val="x-none" w:eastAsia="x-none"/>
    </w:rPr>
  </w:style>
  <w:style w:type="paragraph" w:styleId="Balk2">
    <w:name w:val="heading 2"/>
    <w:basedOn w:val="Balk3"/>
    <w:next w:val="Normal"/>
    <w:link w:val="Balk2Char"/>
    <w:qFormat/>
    <w:rsid w:val="00C818AA"/>
    <w:pPr>
      <w:outlineLvl w:val="1"/>
    </w:pPr>
    <w:rPr>
      <w:rFonts w:ascii="Minion Pro" w:hAnsi="Minion Pro"/>
      <w:sz w:val="20"/>
      <w:szCs w:val="20"/>
    </w:rPr>
  </w:style>
  <w:style w:type="paragraph" w:styleId="Balk3">
    <w:name w:val="heading 3"/>
    <w:basedOn w:val="Normal"/>
    <w:next w:val="Normal"/>
    <w:link w:val="Balk3Char"/>
    <w:qFormat/>
    <w:rsid w:val="00C818AA"/>
    <w:pPr>
      <w:spacing w:before="240" w:after="40" w:line="264" w:lineRule="auto"/>
      <w:ind w:firstLine="397"/>
      <w:jc w:val="both"/>
      <w:outlineLvl w:val="2"/>
    </w:pPr>
    <w:rPr>
      <w:rFonts w:ascii="Book Antiqua" w:eastAsia="Times New Roman" w:hAnsi="Book Antiqua" w:cs="Times New Roman"/>
      <w:b/>
      <w:sz w:val="19"/>
      <w:szCs w:val="19"/>
      <w:lang w:val="x-none" w:eastAsia="x-none"/>
    </w:rPr>
  </w:style>
  <w:style w:type="paragraph" w:styleId="Balk4">
    <w:name w:val="heading 4"/>
    <w:basedOn w:val="Balk3"/>
    <w:next w:val="Normal"/>
    <w:link w:val="Balk4Char"/>
    <w:unhideWhenUsed/>
    <w:qFormat/>
    <w:rsid w:val="00C818AA"/>
    <w:pPr>
      <w:widowControl w:val="0"/>
      <w:spacing w:after="60"/>
      <w:outlineLvl w:val="3"/>
    </w:pPr>
    <w:rPr>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818AA"/>
    <w:rPr>
      <w:rFonts w:ascii="Verdana" w:eastAsia="Times New Roman" w:hAnsi="Verdana" w:cs="Times New Roman"/>
      <w:b/>
      <w:sz w:val="24"/>
      <w:szCs w:val="24"/>
      <w:lang w:val="x-none" w:eastAsia="x-none"/>
    </w:rPr>
  </w:style>
  <w:style w:type="character" w:customStyle="1" w:styleId="Balk2Char">
    <w:name w:val="Başlık 2 Char"/>
    <w:basedOn w:val="VarsaylanParagrafYazTipi"/>
    <w:link w:val="Balk2"/>
    <w:rsid w:val="00C818AA"/>
    <w:rPr>
      <w:rFonts w:ascii="Minion Pro" w:eastAsia="Times New Roman" w:hAnsi="Minion Pro" w:cs="Times New Roman"/>
      <w:b/>
      <w:sz w:val="20"/>
      <w:szCs w:val="20"/>
      <w:lang w:val="x-none" w:eastAsia="x-none"/>
    </w:rPr>
  </w:style>
  <w:style w:type="character" w:customStyle="1" w:styleId="Balk3Char">
    <w:name w:val="Başlık 3 Char"/>
    <w:basedOn w:val="VarsaylanParagrafYazTipi"/>
    <w:link w:val="Balk3"/>
    <w:rsid w:val="00C818AA"/>
    <w:rPr>
      <w:rFonts w:ascii="Book Antiqua" w:eastAsia="Times New Roman" w:hAnsi="Book Antiqua" w:cs="Times New Roman"/>
      <w:b/>
      <w:sz w:val="19"/>
      <w:szCs w:val="19"/>
      <w:lang w:val="x-none" w:eastAsia="x-none"/>
    </w:rPr>
  </w:style>
  <w:style w:type="character" w:customStyle="1" w:styleId="Balk4Char">
    <w:name w:val="Başlık 4 Char"/>
    <w:basedOn w:val="VarsaylanParagrafYazTipi"/>
    <w:link w:val="Balk4"/>
    <w:rsid w:val="00C818AA"/>
    <w:rPr>
      <w:rFonts w:ascii="Book Antiqua" w:eastAsia="Times New Roman" w:hAnsi="Book Antiqua" w:cs="Times New Roman"/>
      <w:b/>
      <w:sz w:val="20"/>
      <w:szCs w:val="20"/>
      <w:lang w:val="x-none" w:eastAsia="x-none"/>
    </w:rPr>
  </w:style>
  <w:style w:type="numbering" w:customStyle="1" w:styleId="ListeYok1">
    <w:name w:val="Liste Yok1"/>
    <w:next w:val="ListeYok"/>
    <w:uiPriority w:val="99"/>
    <w:semiHidden/>
    <w:rsid w:val="00C818AA"/>
  </w:style>
  <w:style w:type="paragraph" w:customStyle="1" w:styleId="style6">
    <w:name w:val="style6"/>
    <w:basedOn w:val="Normal"/>
    <w:rsid w:val="00C818AA"/>
    <w:pPr>
      <w:spacing w:before="100" w:beforeAutospacing="1" w:after="100" w:afterAutospacing="1"/>
    </w:pPr>
    <w:rPr>
      <w:rFonts w:ascii="Verdana" w:eastAsia="Times New Roman" w:hAnsi="Verdana" w:cs="Times New Roman"/>
      <w:b/>
      <w:bCs/>
      <w:sz w:val="21"/>
      <w:szCs w:val="21"/>
      <w:lang w:eastAsia="tr-TR"/>
    </w:rPr>
  </w:style>
  <w:style w:type="paragraph" w:styleId="GvdeMetni2">
    <w:name w:val="Body Text 2"/>
    <w:basedOn w:val="Normal"/>
    <w:link w:val="GvdeMetni2Char"/>
    <w:rsid w:val="00C818AA"/>
    <w:pPr>
      <w:spacing w:after="120" w:line="480" w:lineRule="auto"/>
    </w:pPr>
    <w:rPr>
      <w:rFonts w:ascii="Times New Roman" w:eastAsia="Times New Roman" w:hAnsi="Times New Roman" w:cs="Times New Roman"/>
      <w:sz w:val="24"/>
      <w:szCs w:val="24"/>
      <w:lang w:eastAsia="tr-TR"/>
    </w:rPr>
  </w:style>
  <w:style w:type="character" w:customStyle="1" w:styleId="GvdeMetni2Char">
    <w:name w:val="Gövde Metni 2 Char"/>
    <w:basedOn w:val="VarsaylanParagrafYazTipi"/>
    <w:link w:val="GvdeMetni2"/>
    <w:rsid w:val="00C818AA"/>
    <w:rPr>
      <w:rFonts w:ascii="Times New Roman" w:eastAsia="Times New Roman" w:hAnsi="Times New Roman" w:cs="Times New Roman"/>
      <w:sz w:val="24"/>
      <w:szCs w:val="24"/>
      <w:lang w:eastAsia="tr-TR"/>
    </w:rPr>
  </w:style>
  <w:style w:type="paragraph" w:styleId="GvdeMetniGirintisi">
    <w:name w:val="Body Text Indent"/>
    <w:basedOn w:val="Normal"/>
    <w:link w:val="GvdeMetniGirintisiChar"/>
    <w:rsid w:val="00C818AA"/>
    <w:pPr>
      <w:spacing w:after="120"/>
      <w:ind w:left="283"/>
    </w:pPr>
    <w:rPr>
      <w:rFonts w:ascii="Times New Roman" w:eastAsia="Times New Roman" w:hAnsi="Times New Roman" w:cs="Times New Roman"/>
      <w:sz w:val="24"/>
      <w:szCs w:val="24"/>
      <w:lang w:eastAsia="tr-TR"/>
    </w:rPr>
  </w:style>
  <w:style w:type="character" w:customStyle="1" w:styleId="GvdeMetniGirintisiChar">
    <w:name w:val="Gövde Metni Girintisi Char"/>
    <w:basedOn w:val="VarsaylanParagrafYazTipi"/>
    <w:link w:val="GvdeMetniGirintisi"/>
    <w:rsid w:val="00C818AA"/>
    <w:rPr>
      <w:rFonts w:ascii="Times New Roman" w:eastAsia="Times New Roman" w:hAnsi="Times New Roman" w:cs="Times New Roman"/>
      <w:sz w:val="24"/>
      <w:szCs w:val="24"/>
      <w:lang w:eastAsia="tr-TR"/>
    </w:rPr>
  </w:style>
  <w:style w:type="paragraph" w:styleId="NormalWeb">
    <w:name w:val="Normal (Web)"/>
    <w:basedOn w:val="Normal"/>
    <w:uiPriority w:val="99"/>
    <w:rsid w:val="00C818AA"/>
    <w:pPr>
      <w:spacing w:before="100" w:beforeAutospacing="1" w:after="100" w:afterAutospacing="1"/>
    </w:pPr>
    <w:rPr>
      <w:rFonts w:ascii="Times New Roman" w:eastAsia="Times New Roman" w:hAnsi="Times New Roman" w:cs="Times New Roman"/>
      <w:color w:val="000000"/>
      <w:sz w:val="24"/>
      <w:szCs w:val="24"/>
      <w:lang w:eastAsia="tr-TR"/>
    </w:rPr>
  </w:style>
  <w:style w:type="paragraph" w:styleId="GvdeMetniGirintisi2">
    <w:name w:val="Body Text Indent 2"/>
    <w:basedOn w:val="Normal"/>
    <w:link w:val="GvdeMetniGirintisi2Char"/>
    <w:rsid w:val="00C818AA"/>
    <w:pPr>
      <w:spacing w:after="120" w:line="480" w:lineRule="auto"/>
      <w:ind w:left="283"/>
    </w:pPr>
    <w:rPr>
      <w:rFonts w:ascii="Times New Roman" w:eastAsia="Times New Roman" w:hAnsi="Times New Roman" w:cs="Times New Roman"/>
      <w:sz w:val="24"/>
      <w:szCs w:val="24"/>
      <w:lang w:eastAsia="tr-TR"/>
    </w:rPr>
  </w:style>
  <w:style w:type="character" w:customStyle="1" w:styleId="GvdeMetniGirintisi2Char">
    <w:name w:val="Gövde Metni Girintisi 2 Char"/>
    <w:basedOn w:val="VarsaylanParagrafYazTipi"/>
    <w:link w:val="GvdeMetniGirintisi2"/>
    <w:rsid w:val="00C818AA"/>
    <w:rPr>
      <w:rFonts w:ascii="Times New Roman" w:eastAsia="Times New Roman" w:hAnsi="Times New Roman" w:cs="Times New Roman"/>
      <w:sz w:val="24"/>
      <w:szCs w:val="24"/>
      <w:lang w:eastAsia="tr-TR"/>
    </w:rPr>
  </w:style>
  <w:style w:type="paragraph" w:styleId="GvdeMetni">
    <w:name w:val="Body Text"/>
    <w:basedOn w:val="Normal"/>
    <w:link w:val="GvdeMetniChar"/>
    <w:rsid w:val="00C818AA"/>
    <w:pPr>
      <w:spacing w:after="120"/>
    </w:pPr>
    <w:rPr>
      <w:rFonts w:ascii="Times New Roman" w:eastAsia="Times New Roman" w:hAnsi="Times New Roman" w:cs="Times New Roman"/>
      <w:sz w:val="24"/>
      <w:szCs w:val="24"/>
      <w:lang w:val="x-none" w:eastAsia="x-none"/>
    </w:rPr>
  </w:style>
  <w:style w:type="character" w:customStyle="1" w:styleId="GvdeMetniChar">
    <w:name w:val="Gövde Metni Char"/>
    <w:basedOn w:val="VarsaylanParagrafYazTipi"/>
    <w:link w:val="GvdeMetni"/>
    <w:rsid w:val="00C818AA"/>
    <w:rPr>
      <w:rFonts w:ascii="Times New Roman" w:eastAsia="Times New Roman" w:hAnsi="Times New Roman" w:cs="Times New Roman"/>
      <w:sz w:val="24"/>
      <w:szCs w:val="24"/>
      <w:lang w:val="x-none" w:eastAsia="x-none"/>
    </w:rPr>
  </w:style>
  <w:style w:type="character" w:styleId="Kpr">
    <w:name w:val="Hyperlink"/>
    <w:uiPriority w:val="99"/>
    <w:rsid w:val="00C818AA"/>
    <w:rPr>
      <w:rFonts w:cs="Times New Roman"/>
      <w:color w:val="FF55FF"/>
      <w:u w:val="none"/>
      <w:effect w:val="none"/>
    </w:rPr>
  </w:style>
  <w:style w:type="paragraph" w:customStyle="1" w:styleId="meb1">
    <w:name w:val="meb1"/>
    <w:basedOn w:val="Normal"/>
    <w:rsid w:val="00C818AA"/>
    <w:pPr>
      <w:spacing w:before="100" w:beforeAutospacing="1" w:after="100" w:afterAutospacing="1"/>
    </w:pPr>
    <w:rPr>
      <w:rFonts w:ascii="Arial Unicode MS" w:eastAsia="Times New Roman" w:hAnsi="Arial Unicode MS" w:cs="Arial Unicode MS"/>
      <w:sz w:val="24"/>
      <w:szCs w:val="24"/>
      <w:lang w:eastAsia="tr-TR"/>
    </w:rPr>
  </w:style>
  <w:style w:type="character" w:customStyle="1" w:styleId="default1">
    <w:name w:val="default1"/>
    <w:rsid w:val="00C818AA"/>
    <w:rPr>
      <w:rFonts w:ascii="Verdana" w:hAnsi="Verdana" w:cs="Times New Roman"/>
      <w:color w:val="336600"/>
      <w:sz w:val="20"/>
      <w:szCs w:val="20"/>
    </w:rPr>
  </w:style>
  <w:style w:type="paragraph" w:styleId="stBilgi">
    <w:name w:val="header"/>
    <w:basedOn w:val="Normal"/>
    <w:link w:val="stBilgiChar"/>
    <w:rsid w:val="00C818AA"/>
    <w:pPr>
      <w:tabs>
        <w:tab w:val="center" w:pos="4536"/>
        <w:tab w:val="right" w:pos="9072"/>
      </w:tabs>
      <w:spacing w:after="0"/>
    </w:pPr>
    <w:rPr>
      <w:rFonts w:ascii="Times New Roman" w:eastAsia="Times New Roman" w:hAnsi="Times New Roman" w:cs="Times New Roman"/>
      <w:sz w:val="24"/>
      <w:szCs w:val="24"/>
      <w:lang w:eastAsia="tr-TR"/>
    </w:rPr>
  </w:style>
  <w:style w:type="character" w:customStyle="1" w:styleId="stBilgiChar">
    <w:name w:val="Üst Bilgi Char"/>
    <w:basedOn w:val="VarsaylanParagrafYazTipi"/>
    <w:link w:val="stBilgi"/>
    <w:rsid w:val="00C818AA"/>
    <w:rPr>
      <w:rFonts w:ascii="Times New Roman" w:eastAsia="Times New Roman" w:hAnsi="Times New Roman" w:cs="Times New Roman"/>
      <w:sz w:val="24"/>
      <w:szCs w:val="24"/>
      <w:lang w:eastAsia="tr-TR"/>
    </w:rPr>
  </w:style>
  <w:style w:type="paragraph" w:styleId="AltBilgi">
    <w:name w:val="footer"/>
    <w:basedOn w:val="Normal"/>
    <w:link w:val="AltBilgiChar"/>
    <w:uiPriority w:val="99"/>
    <w:rsid w:val="00C818AA"/>
    <w:pPr>
      <w:tabs>
        <w:tab w:val="center" w:pos="4536"/>
        <w:tab w:val="right" w:pos="9072"/>
      </w:tabs>
      <w:spacing w:after="0"/>
    </w:pPr>
    <w:rPr>
      <w:rFonts w:ascii="Times New Roman" w:eastAsia="Times New Roman" w:hAnsi="Times New Roman" w:cs="Times New Roman"/>
      <w:sz w:val="24"/>
      <w:szCs w:val="24"/>
      <w:lang w:val="x-none" w:eastAsia="x-none"/>
    </w:rPr>
  </w:style>
  <w:style w:type="character" w:customStyle="1" w:styleId="AltBilgiChar">
    <w:name w:val="Alt Bilgi Char"/>
    <w:basedOn w:val="VarsaylanParagrafYazTipi"/>
    <w:link w:val="AltBilgi"/>
    <w:uiPriority w:val="99"/>
    <w:rsid w:val="00C818AA"/>
    <w:rPr>
      <w:rFonts w:ascii="Times New Roman" w:eastAsia="Times New Roman" w:hAnsi="Times New Roman" w:cs="Times New Roman"/>
      <w:sz w:val="24"/>
      <w:szCs w:val="24"/>
      <w:lang w:val="x-none" w:eastAsia="x-none"/>
    </w:rPr>
  </w:style>
  <w:style w:type="character" w:styleId="SayfaNumaras">
    <w:name w:val="page number"/>
    <w:basedOn w:val="VarsaylanParagrafYazTipi"/>
    <w:rsid w:val="00C818AA"/>
  </w:style>
  <w:style w:type="character" w:styleId="Gl">
    <w:name w:val="Strong"/>
    <w:qFormat/>
    <w:rsid w:val="00C818AA"/>
    <w:rPr>
      <w:b/>
      <w:bCs/>
    </w:rPr>
  </w:style>
  <w:style w:type="character" w:customStyle="1" w:styleId="apple-converted-space">
    <w:name w:val="apple-converted-space"/>
    <w:basedOn w:val="VarsaylanParagrafYazTipi"/>
    <w:rsid w:val="00C818AA"/>
  </w:style>
  <w:style w:type="paragraph" w:styleId="T3">
    <w:name w:val="toc 3"/>
    <w:basedOn w:val="Normal"/>
    <w:next w:val="Normal"/>
    <w:autoRedefine/>
    <w:uiPriority w:val="39"/>
    <w:rsid w:val="00C818AA"/>
    <w:pPr>
      <w:spacing w:after="0"/>
      <w:ind w:left="480"/>
    </w:pPr>
    <w:rPr>
      <w:rFonts w:ascii="Times New Roman" w:eastAsia="Times New Roman" w:hAnsi="Times New Roman" w:cs="Times New Roman"/>
      <w:sz w:val="24"/>
      <w:szCs w:val="24"/>
      <w:lang w:eastAsia="tr-TR"/>
    </w:rPr>
  </w:style>
  <w:style w:type="paragraph" w:styleId="T2">
    <w:name w:val="toc 2"/>
    <w:basedOn w:val="Normal"/>
    <w:next w:val="Normal"/>
    <w:autoRedefine/>
    <w:uiPriority w:val="39"/>
    <w:rsid w:val="00C818AA"/>
    <w:pPr>
      <w:tabs>
        <w:tab w:val="right" w:leader="dot" w:pos="8437"/>
      </w:tabs>
      <w:spacing w:after="0"/>
      <w:ind w:left="240"/>
      <w:jc w:val="center"/>
    </w:pPr>
    <w:rPr>
      <w:rFonts w:ascii="Arial" w:eastAsia="Times New Roman" w:hAnsi="Arial" w:cs="Arial"/>
      <w:b/>
      <w:noProof/>
      <w:sz w:val="24"/>
      <w:szCs w:val="24"/>
      <w:lang w:eastAsia="tr-TR"/>
    </w:rPr>
  </w:style>
  <w:style w:type="paragraph" w:styleId="T1">
    <w:name w:val="toc 1"/>
    <w:basedOn w:val="Normal"/>
    <w:next w:val="Normal"/>
    <w:autoRedefine/>
    <w:uiPriority w:val="39"/>
    <w:rsid w:val="00C818AA"/>
    <w:pPr>
      <w:tabs>
        <w:tab w:val="right" w:leader="dot" w:pos="8437"/>
      </w:tabs>
      <w:spacing w:after="0"/>
    </w:pPr>
    <w:rPr>
      <w:rFonts w:ascii="Verdana" w:eastAsia="Times New Roman" w:hAnsi="Verdana" w:cs="Times New Roman"/>
      <w:b/>
      <w:noProof/>
      <w:sz w:val="19"/>
      <w:szCs w:val="19"/>
      <w:lang w:eastAsia="tr-TR"/>
    </w:rPr>
  </w:style>
  <w:style w:type="paragraph" w:styleId="TBal">
    <w:name w:val="TOC Heading"/>
    <w:basedOn w:val="Balk1"/>
    <w:next w:val="Normal"/>
    <w:uiPriority w:val="39"/>
    <w:semiHidden/>
    <w:unhideWhenUsed/>
    <w:qFormat/>
    <w:rsid w:val="00C818AA"/>
    <w:pPr>
      <w:keepLines/>
      <w:spacing w:before="480" w:after="0"/>
      <w:outlineLvl w:val="9"/>
    </w:pPr>
    <w:rPr>
      <w:color w:val="365F91"/>
      <w:sz w:val="28"/>
      <w:szCs w:val="28"/>
      <w:lang w:eastAsia="en-US"/>
    </w:rPr>
  </w:style>
  <w:style w:type="paragraph" w:styleId="Altyaz">
    <w:name w:val="Subtitle"/>
    <w:basedOn w:val="Normal"/>
    <w:next w:val="Normal"/>
    <w:link w:val="AltyazChar"/>
    <w:qFormat/>
    <w:rsid w:val="00C818AA"/>
    <w:pPr>
      <w:spacing w:after="60"/>
      <w:jc w:val="center"/>
      <w:outlineLvl w:val="1"/>
    </w:pPr>
    <w:rPr>
      <w:rFonts w:ascii="Cambria" w:eastAsia="Times New Roman" w:hAnsi="Cambria" w:cs="Times New Roman"/>
      <w:sz w:val="24"/>
      <w:szCs w:val="24"/>
      <w:lang w:val="x-none" w:eastAsia="x-none"/>
    </w:rPr>
  </w:style>
  <w:style w:type="character" w:customStyle="1" w:styleId="AltyazChar">
    <w:name w:val="Altyazı Char"/>
    <w:basedOn w:val="VarsaylanParagrafYazTipi"/>
    <w:link w:val="Altyaz"/>
    <w:rsid w:val="00C818AA"/>
    <w:rPr>
      <w:rFonts w:ascii="Cambria" w:eastAsia="Times New Roman" w:hAnsi="Cambria" w:cs="Times New Roman"/>
      <w:sz w:val="24"/>
      <w:szCs w:val="24"/>
      <w:lang w:val="x-none" w:eastAsia="x-none"/>
    </w:rPr>
  </w:style>
  <w:style w:type="character" w:styleId="zlenenKpr">
    <w:name w:val="FollowedHyperlink"/>
    <w:rsid w:val="00C818AA"/>
    <w:rPr>
      <w:color w:val="800080"/>
      <w:u w:val="single"/>
    </w:rPr>
  </w:style>
  <w:style w:type="paragraph" w:styleId="T4">
    <w:name w:val="toc 4"/>
    <w:basedOn w:val="Normal"/>
    <w:next w:val="Normal"/>
    <w:autoRedefine/>
    <w:uiPriority w:val="39"/>
    <w:unhideWhenUsed/>
    <w:rsid w:val="00C818AA"/>
    <w:pPr>
      <w:spacing w:after="100"/>
      <w:ind w:left="660"/>
    </w:pPr>
    <w:rPr>
      <w:rFonts w:ascii="Calibri" w:eastAsia="Times New Roman" w:hAnsi="Calibri" w:cs="Times New Roman"/>
      <w:lang w:eastAsia="tr-TR"/>
    </w:rPr>
  </w:style>
  <w:style w:type="paragraph" w:styleId="T5">
    <w:name w:val="toc 5"/>
    <w:basedOn w:val="Normal"/>
    <w:next w:val="Normal"/>
    <w:autoRedefine/>
    <w:uiPriority w:val="39"/>
    <w:unhideWhenUsed/>
    <w:rsid w:val="00C818AA"/>
    <w:pPr>
      <w:spacing w:after="100"/>
      <w:ind w:left="880"/>
    </w:pPr>
    <w:rPr>
      <w:rFonts w:ascii="Calibri" w:eastAsia="Times New Roman" w:hAnsi="Calibri" w:cs="Times New Roman"/>
      <w:lang w:eastAsia="tr-TR"/>
    </w:rPr>
  </w:style>
  <w:style w:type="paragraph" w:styleId="T6">
    <w:name w:val="toc 6"/>
    <w:basedOn w:val="Normal"/>
    <w:next w:val="Normal"/>
    <w:autoRedefine/>
    <w:uiPriority w:val="39"/>
    <w:unhideWhenUsed/>
    <w:rsid w:val="00C818AA"/>
    <w:pPr>
      <w:spacing w:after="100"/>
      <w:ind w:left="1100"/>
    </w:pPr>
    <w:rPr>
      <w:rFonts w:ascii="Calibri" w:eastAsia="Times New Roman" w:hAnsi="Calibri" w:cs="Times New Roman"/>
      <w:lang w:eastAsia="tr-TR"/>
    </w:rPr>
  </w:style>
  <w:style w:type="paragraph" w:styleId="T7">
    <w:name w:val="toc 7"/>
    <w:basedOn w:val="Normal"/>
    <w:next w:val="Normal"/>
    <w:autoRedefine/>
    <w:uiPriority w:val="39"/>
    <w:unhideWhenUsed/>
    <w:rsid w:val="00C818AA"/>
    <w:pPr>
      <w:spacing w:after="100"/>
      <w:ind w:left="1320"/>
    </w:pPr>
    <w:rPr>
      <w:rFonts w:ascii="Calibri" w:eastAsia="Times New Roman" w:hAnsi="Calibri" w:cs="Times New Roman"/>
      <w:lang w:eastAsia="tr-TR"/>
    </w:rPr>
  </w:style>
  <w:style w:type="paragraph" w:styleId="T8">
    <w:name w:val="toc 8"/>
    <w:basedOn w:val="Normal"/>
    <w:next w:val="Normal"/>
    <w:autoRedefine/>
    <w:uiPriority w:val="39"/>
    <w:unhideWhenUsed/>
    <w:rsid w:val="00C818AA"/>
    <w:pPr>
      <w:spacing w:after="100"/>
      <w:ind w:left="1540"/>
    </w:pPr>
    <w:rPr>
      <w:rFonts w:ascii="Calibri" w:eastAsia="Times New Roman" w:hAnsi="Calibri" w:cs="Times New Roman"/>
      <w:lang w:eastAsia="tr-TR"/>
    </w:rPr>
  </w:style>
  <w:style w:type="paragraph" w:styleId="T9">
    <w:name w:val="toc 9"/>
    <w:basedOn w:val="Normal"/>
    <w:next w:val="Normal"/>
    <w:autoRedefine/>
    <w:uiPriority w:val="39"/>
    <w:unhideWhenUsed/>
    <w:rsid w:val="00C818AA"/>
    <w:pPr>
      <w:spacing w:after="100"/>
      <w:ind w:left="1760"/>
    </w:pPr>
    <w:rPr>
      <w:rFonts w:ascii="Calibri" w:eastAsia="Times New Roman" w:hAnsi="Calibri" w:cs="Times New Roman"/>
      <w:lang w:eastAsia="tr-TR"/>
    </w:rPr>
  </w:style>
  <w:style w:type="paragraph" w:styleId="BalonMetni">
    <w:name w:val="Balloon Text"/>
    <w:basedOn w:val="Normal"/>
    <w:link w:val="BalonMetniChar"/>
    <w:rsid w:val="00C818AA"/>
    <w:pPr>
      <w:spacing w:after="0"/>
    </w:pPr>
    <w:rPr>
      <w:rFonts w:ascii="Tahoma" w:eastAsia="Times New Roman" w:hAnsi="Tahoma" w:cs="Times New Roman"/>
      <w:sz w:val="16"/>
      <w:szCs w:val="16"/>
      <w:lang w:val="x-none" w:eastAsia="x-none"/>
    </w:rPr>
  </w:style>
  <w:style w:type="character" w:customStyle="1" w:styleId="BalonMetniChar">
    <w:name w:val="Balon Metni Char"/>
    <w:basedOn w:val="VarsaylanParagrafYazTipi"/>
    <w:link w:val="BalonMetni"/>
    <w:rsid w:val="00C818AA"/>
    <w:rPr>
      <w:rFonts w:ascii="Tahoma" w:eastAsia="Times New Roman" w:hAnsi="Tahoma" w:cs="Times New Roman"/>
      <w:sz w:val="16"/>
      <w:szCs w:val="16"/>
      <w:lang w:val="x-none" w:eastAsia="x-none"/>
    </w:rPr>
  </w:style>
  <w:style w:type="character" w:customStyle="1" w:styleId="pkh1n6q40n0">
    <w:name w:val="pkh1n6q40n0"/>
    <w:basedOn w:val="VarsaylanParagrafYazTipi"/>
    <w:rsid w:val="00C818AA"/>
  </w:style>
  <w:style w:type="paragraph" w:styleId="ListeParagraf">
    <w:name w:val="List Paragraph"/>
    <w:basedOn w:val="Normal"/>
    <w:uiPriority w:val="34"/>
    <w:qFormat/>
    <w:rsid w:val="00C818AA"/>
    <w:pPr>
      <w:spacing w:after="0"/>
      <w:ind w:left="720"/>
      <w:contextualSpacing/>
    </w:pPr>
    <w:rPr>
      <w:rFonts w:ascii="Times New Roman" w:eastAsia="Times New Roman" w:hAnsi="Times New Roman" w:cs="Times New Roman"/>
      <w:sz w:val="24"/>
      <w:szCs w:val="24"/>
      <w:lang w:eastAsia="tr-TR"/>
    </w:rPr>
  </w:style>
  <w:style w:type="character" w:styleId="Vurgu">
    <w:name w:val="Emphasis"/>
    <w:uiPriority w:val="20"/>
    <w:qFormat/>
    <w:rsid w:val="00C818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ömer</cp:lastModifiedBy>
  <cp:revision>3</cp:revision>
  <dcterms:created xsi:type="dcterms:W3CDTF">2018-01-24T09:47:00Z</dcterms:created>
  <dcterms:modified xsi:type="dcterms:W3CDTF">2021-02-18T08:37:00Z</dcterms:modified>
</cp:coreProperties>
</file>