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3E" w:rsidRDefault="000B7A3E">
      <w:pPr>
        <w:rPr>
          <w:lang w:val="uk-UA"/>
        </w:rPr>
      </w:pPr>
    </w:p>
    <w:p w:rsidR="00F964B3" w:rsidRDefault="00F964B3" w:rsidP="00F964B3">
      <w:pPr>
        <w:widowControl w:val="0"/>
        <w:shd w:val="clear" w:color="auto" w:fill="FFFFFF"/>
        <w:autoSpaceDE w:val="0"/>
        <w:autoSpaceDN w:val="0"/>
        <w:adjustRightInd w:val="0"/>
        <w:spacing w:before="211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на самостійне вивчення №  6</w:t>
      </w:r>
    </w:p>
    <w:p w:rsidR="00046EC5" w:rsidRPr="005C0E33" w:rsidRDefault="00046EC5" w:rsidP="00F964B3">
      <w:pPr>
        <w:widowControl w:val="0"/>
        <w:shd w:val="clear" w:color="auto" w:fill="FFFFFF"/>
        <w:autoSpaceDE w:val="0"/>
        <w:autoSpaceDN w:val="0"/>
        <w:adjustRightInd w:val="0"/>
        <w:spacing w:before="211"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964B3" w:rsidRPr="00F964B3" w:rsidRDefault="00F964B3" w:rsidP="00F964B3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Тема: 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КАТЕГОРІЯ </w:t>
      </w:r>
      <w:r w:rsidRPr="00F964B3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«БІОРІЗНОМАНІТТЯ». 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 </w:t>
      </w:r>
      <w:r w:rsidRPr="00F964B3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ПРИЧИНИ І НАСЛІ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ДКИ ДЕГРАДАЦІЇ БІОРІЗНОМАНІТТЯ. ЗАПОВІДНА СПРАВА.</w:t>
      </w:r>
      <w:r w:rsidRPr="00F964B3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ОСНОВНІ КАТЕГОРІЇ ЗАПОВІДНИХ ОБ’ЄКТІВ.УЯВЛЕННЯ ПРО ЕКОМЕРЕЖІ.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 </w:t>
      </w:r>
      <w:r w:rsidRPr="00F964B3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МІЖНАРОДНІ ТА НАЦІОНАЛЬНІ ПРОГРАМИ ЗБЕРЕЖЕННЯ БІОРІЗНОМАНІТТЯ.</w:t>
      </w:r>
    </w:p>
    <w:p w:rsidR="00F964B3" w:rsidRPr="00401790" w:rsidRDefault="00F964B3" w:rsidP="00401790">
      <w:pPr>
        <w:shd w:val="clear" w:color="auto" w:fill="FFFFFF" w:themeFill="background1"/>
        <w:spacing w:before="139"/>
        <w:ind w:right="14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</w:pPr>
      <w:r w:rsidRPr="00E376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Мета:</w:t>
      </w:r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 xml:space="preserve"> </w:t>
      </w:r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 xml:space="preserve">сформулювати та закріпити основні уявлення студентів про поняття </w:t>
      </w:r>
      <w:proofErr w:type="spellStart"/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>біорізноманіття</w:t>
      </w:r>
      <w:proofErr w:type="spellEnd"/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 xml:space="preserve">,його види;розглянути і закріпити знання про основні причини і наслідки деградації </w:t>
      </w:r>
      <w:proofErr w:type="spellStart"/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>біорізноманіття</w:t>
      </w:r>
      <w:proofErr w:type="spellEnd"/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 xml:space="preserve">;засвоїти основні категорії заповідних об’єктів,причини і наслідки деградації </w:t>
      </w:r>
      <w:proofErr w:type="spellStart"/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>біорізноманіття</w:t>
      </w:r>
      <w:proofErr w:type="spellEnd"/>
      <w:r w:rsidR="00401790" w:rsidRPr="00401790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uk-UA" w:eastAsia="ru-RU"/>
        </w:rPr>
        <w:t xml:space="preserve">;розвивати вміння застосовувати базові екологічні знання при формуванні особистого відношення до об’єктів природи й суспільства;виховувати екологічну грамотність. </w:t>
      </w:r>
      <w:r w:rsidRPr="004746AF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</w:p>
    <w:p w:rsidR="00F964B3" w:rsidRPr="008601B2" w:rsidRDefault="00F964B3" w:rsidP="00F964B3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5C0E3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Література:</w:t>
      </w:r>
      <w:r w:rsidRPr="00A92D3D">
        <w:t xml:space="preserve"> </w:t>
      </w:r>
      <w:r>
        <w:rPr>
          <w:lang w:val="uk-UA"/>
        </w:rPr>
        <w:t xml:space="preserve">                                           </w:t>
      </w:r>
    </w:p>
    <w:p w:rsidR="00F964B3" w:rsidRPr="004746AF" w:rsidRDefault="00F964B3" w:rsidP="00F964B3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lang w:val="uk-UA"/>
        </w:rPr>
        <w:t xml:space="preserve"> </w:t>
      </w:r>
      <w:r w:rsidRPr="00977831">
        <w:rPr>
          <w:rFonts w:ascii="Times New Roman" w:hAnsi="Times New Roman" w:cs="Times New Roman"/>
          <w:sz w:val="28"/>
          <w:szCs w:val="28"/>
          <w:lang w:val="uk-UA"/>
        </w:rPr>
        <w:t>Основна: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1.Білявський Г.О., </w:t>
      </w:r>
      <w:proofErr w:type="spellStart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Бутченко</w:t>
      </w:r>
      <w:proofErr w:type="spellEnd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Л.І., Основи </w:t>
      </w:r>
      <w:proofErr w:type="spellStart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екологіі</w:t>
      </w:r>
      <w:proofErr w:type="spellEnd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: теорія та практикум: </w:t>
      </w:r>
      <w:proofErr w:type="spellStart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Навч</w:t>
      </w:r>
      <w:proofErr w:type="spellEnd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посібник. – К.: </w:t>
      </w:r>
      <w:proofErr w:type="spellStart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Лібра</w:t>
      </w:r>
      <w:proofErr w:type="spellEnd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2006. – 368 с.                                                                2.Білявський Г.О., </w:t>
      </w:r>
      <w:proofErr w:type="spellStart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Падун</w:t>
      </w:r>
      <w:proofErr w:type="spellEnd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Н.М. Основи екології – К.: Либідь, 1995 – 368 с.                    3.Бровдій В.М. Екологічні проблеми України. – К.: НПУ Основа,  2000.  – 110 с.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4.Злобін Ю.А. Основи екології. – К.: </w:t>
      </w:r>
      <w:proofErr w:type="spellStart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Лібра</w:t>
      </w:r>
      <w:proofErr w:type="spellEnd"/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1998. – 248 с.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 w:rsidRPr="00584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                  </w:t>
      </w:r>
      <w:r w:rsidRPr="005849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5.Кучерявий В.П. Екологія. – Львів: Світ, 2001. – 500 с.                                             6.Петрук В.Г. Основи екології. Курс лекції. Вінниця, 2006. – 133 с.</w:t>
      </w:r>
    </w:p>
    <w:p w:rsidR="00F964B3" w:rsidRDefault="00F964B3" w:rsidP="00F964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4746AF">
        <w:t xml:space="preserve"> </w:t>
      </w:r>
      <w:proofErr w:type="spellStart"/>
      <w:r w:rsidRPr="004746AF">
        <w:rPr>
          <w:rFonts w:ascii="Times New Roman" w:hAnsi="Times New Roman" w:cs="Times New Roman"/>
          <w:sz w:val="28"/>
          <w:szCs w:val="28"/>
          <w:lang w:val="uk-UA"/>
        </w:rPr>
        <w:t>Реймерс</w:t>
      </w:r>
      <w:proofErr w:type="spellEnd"/>
      <w:r w:rsidRPr="004746AF">
        <w:rPr>
          <w:rFonts w:ascii="Times New Roman" w:hAnsi="Times New Roman" w:cs="Times New Roman"/>
          <w:sz w:val="28"/>
          <w:szCs w:val="28"/>
          <w:lang w:val="uk-UA"/>
        </w:rPr>
        <w:t xml:space="preserve"> Н.Ф. </w:t>
      </w:r>
      <w:proofErr w:type="spellStart"/>
      <w:r w:rsidRPr="004746AF">
        <w:rPr>
          <w:rFonts w:ascii="Times New Roman" w:hAnsi="Times New Roman" w:cs="Times New Roman"/>
          <w:sz w:val="28"/>
          <w:szCs w:val="28"/>
          <w:lang w:val="uk-UA"/>
        </w:rPr>
        <w:t>Природопользование</w:t>
      </w:r>
      <w:proofErr w:type="spellEnd"/>
      <w:r w:rsidRPr="004746AF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4746AF">
        <w:rPr>
          <w:rFonts w:ascii="Times New Roman" w:hAnsi="Times New Roman" w:cs="Times New Roman"/>
          <w:sz w:val="28"/>
          <w:szCs w:val="28"/>
          <w:lang w:val="uk-UA"/>
        </w:rPr>
        <w:t>Мысль</w:t>
      </w:r>
      <w:proofErr w:type="spellEnd"/>
      <w:r w:rsidRPr="004746AF">
        <w:rPr>
          <w:rFonts w:ascii="Times New Roman" w:hAnsi="Times New Roman" w:cs="Times New Roman"/>
          <w:sz w:val="28"/>
          <w:szCs w:val="28"/>
          <w:lang w:val="uk-UA"/>
        </w:rPr>
        <w:t>, 1990. –633 с.</w:t>
      </w:r>
    </w:p>
    <w:p w:rsidR="00F964B3" w:rsidRPr="00FA502C" w:rsidRDefault="00F964B3" w:rsidP="00F964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831">
        <w:rPr>
          <w:rFonts w:ascii="Times New Roman" w:hAnsi="Times New Roman" w:cs="Times New Roman"/>
          <w:sz w:val="28"/>
          <w:szCs w:val="28"/>
          <w:lang w:val="uk-UA"/>
        </w:rPr>
        <w:t>Додаткова: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</w:t>
      </w:r>
      <w:r w:rsidRPr="00977831">
        <w:rPr>
          <w:rFonts w:ascii="Times New Roman" w:hAnsi="Times New Roman" w:cs="Times New Roman"/>
          <w:sz w:val="28"/>
          <w:szCs w:val="28"/>
          <w:lang w:val="uk-UA"/>
        </w:rPr>
        <w:t>1.Мотузний О.В. Біологія – К.: Вища школа, 1997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2.</w:t>
      </w:r>
      <w:r w:rsidRPr="00FA50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A502C">
        <w:fldChar w:fldCharType="begin"/>
      </w:r>
      <w:r w:rsidRPr="00FA502C">
        <w:instrText xml:space="preserve"> HYPERLINK "https://sites.google.com/site/discovery4uth/d/biologia" </w:instrText>
      </w:r>
      <w:r w:rsidRPr="00FA502C">
        <w:fldChar w:fldCharType="separate"/>
      </w:r>
      <w:r w:rsidRPr="00FA502C">
        <w:rPr>
          <w:rStyle w:val="a3"/>
          <w:rFonts w:ascii="Times New Roman" w:hAnsi="Times New Roman" w:cs="Times New Roman"/>
          <w:color w:val="auto"/>
          <w:sz w:val="28"/>
          <w:szCs w:val="28"/>
        </w:rPr>
        <w:t>https://sites.google.com/site/discovery4uth/d/biologia</w:t>
      </w:r>
      <w:r w:rsidRPr="00FA502C">
        <w:rPr>
          <w:rStyle w:val="a3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A502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3.</w:t>
      </w:r>
      <w:r w:rsidRPr="00FA50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hyperlink r:id="rId5" w:history="1">
        <w:r w:rsidRPr="00FA502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http://www.znonasharu.org.ua</w:t>
        </w:r>
      </w:hyperlink>
      <w:r w:rsidRPr="00FA502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4.https://zno.osvita.ua/biology</w:t>
      </w:r>
    </w:p>
    <w:p w:rsidR="00F964B3" w:rsidRDefault="00F964B3" w:rsidP="00F964B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 опрацювання теми на самостійне вивчення:</w:t>
      </w:r>
    </w:p>
    <w:p w:rsid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Категорія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«біорізноманіття».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        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екосистемне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біорізноманіття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                     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3.Категорії заповідних об’єктів.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 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4.Причини і наслідки деградації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1.</w:t>
      </w:r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Категорія «</w:t>
      </w:r>
      <w:proofErr w:type="spellStart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».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належить до одного з найважливіших надбань кожної держави, адже живі організми виконують життєво важливі функції, є індикаторами якості навколишнього середовища, творцями середовища життєдіяльності людей. Зміни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одні з найнебезпечніших змін, тому що вони мають незворотний характер. Конвенція про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ухвалена Конференцією ООН з навколишнього середовища і розвитку (1992), вперше оголосила збереження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пріоритетним напрямом діяльності людства. Збереження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складною, комплексною проблемою.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вирішення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залежить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низки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екологічних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організаційних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фінансових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етичних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виховних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заходів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входить до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стратегії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тактики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виживання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людства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особливо актуальна на локальному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Сюди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входять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 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збалансоване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земельних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ресурсі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 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невиснажливе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екосистем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 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зниження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техногенних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забруднень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 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лісами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природною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рослинністю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2.</w:t>
      </w:r>
      <w:proofErr w:type="spellStart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Генетичне</w:t>
      </w:r>
      <w:proofErr w:type="spellEnd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видове</w:t>
      </w:r>
      <w:proofErr w:type="spellEnd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й </w:t>
      </w:r>
      <w:proofErr w:type="spellStart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екосистемне</w:t>
      </w:r>
      <w:proofErr w:type="spellEnd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Вивчаючи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увагу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приділяють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трьом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аспектам: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генетичному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видовому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екосистемному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сукупність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генофондів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популяцій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одного виду.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Помилковою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думка,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охорона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виду в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заповідниках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ідставу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винищення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решті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поширення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Звідси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екологічної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є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запорукою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генетичного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Видова</w:t>
      </w:r>
      <w:proofErr w:type="spellEnd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ізноманітність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сукупність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населяють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межах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поширені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5100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судинних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рослин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611(12%) занесено до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фахівців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третини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червонокнижних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рослин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перебувають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поза межами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заказників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Втрата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 одного виду є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незворотною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(мал. 29).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Екосистемне</w:t>
      </w:r>
      <w:proofErr w:type="spellEnd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ландшафтне</w:t>
      </w:r>
      <w:proofErr w:type="spellEnd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сукупність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болотних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гірських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івнинних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морських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угруповань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Екосистеми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об’єктами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природозаповідання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вони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біогеографічну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природного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регіону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межах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й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екосистем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кожному з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точки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екосистеми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Карпат,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Гірського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Криму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Подільського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Подністров’я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,Т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овтрового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кряжу,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Побужжя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екосистеми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(мал. 30).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М.Д.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Гродзинський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П.Г.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Шищенко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чотири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аспекти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трактування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ландшафтного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ландшафтознавчий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антропічний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біоцентричний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гуманістичний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аспекти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взаємодоповнюють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одного і не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суперечать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.Л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андшафтознавче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трактування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ландшафтного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зводиться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ландшафтів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контурів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межах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Виявлення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ареалів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максимуму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територіальної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ландшафту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природоохоронних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Шищенка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М.Д.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Гродзинського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різноманітну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ландшафтну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межують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ландшафти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тектонічних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нтропічне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тлумачення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ландшафтного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широкому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інтегративного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ландшафту,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зміненого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діяльністю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Сюди відносять слабо змінені природні ландшафти, перетворені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агроландшафти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,штучно створені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селитебні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антропогенно-аквальні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промислові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тощо.Ландшафтно-екологічної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оптимізації території можна досягти при гармонійному порівнянні природних і антропогенних ландшафтів у співвідношенні 60 % до 40 % ландшафтної структури. Пошук антропогенного оптимуму полягає в наближенні сучасної структури угідь до традиційних етнічних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моделей.Біоцентричне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розуміння ландшафтного різноманіття полягає в тому, що досягнення ландшафтного різноманіття передусім необхідне для забезпечення біотичного. Цей підхід найпродуктивніше розроблений у ландшафтній екології. Згідно з таким підходом, головна причина втрати біотичного різноманіття полягає в ізольованості окремих ділянок рослинного покриву. Тому відновлення біотичного різноманіття в умовах реального ландшафту полягає в поєднанні окремих ділянок із збереженою природною рослинністю в цілісну мережу завдяки формуванню екологічних коридорів. Різноманітність ландшафтної структури з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біоцентричних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позицій буде тим більшою, чим більше вона має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біоцентрів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біокоридорів.Гуманістичне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розуміння ландшафтного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зводиться до трактування ландшафту як природо-культурної цілісності.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такому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ракурсі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ландшафтне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охоплює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етнічне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ландшафт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наділений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специфічними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культурними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етнічними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рисами,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притаманними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традиціям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звичаям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обрядам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ісцевого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Природозаповідання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одна з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ефективних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біорізноманіття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справа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охорона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рангів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господарських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екологічних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ядер;ї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належать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ресурсознавча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роль, вони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званий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екологічний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каркас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є центрами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екологічного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виховання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046EC5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3.</w:t>
      </w:r>
      <w:r w:rsidR="00401790"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До природно-</w:t>
      </w:r>
      <w:proofErr w:type="spellStart"/>
      <w:r w:rsidR="00401790"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заповідного</w:t>
      </w:r>
      <w:proofErr w:type="spellEnd"/>
      <w:r w:rsidR="00401790"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фонду </w:t>
      </w:r>
      <w:proofErr w:type="spellStart"/>
      <w:r w:rsidR="00401790"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України</w:t>
      </w:r>
      <w:proofErr w:type="spellEnd"/>
      <w:r w:rsidR="00401790" w:rsidRPr="00401790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належать: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об’єкти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заповідники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біосферні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заповідники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парки,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регіональні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ландшафтні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парки, заказники,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урочища;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штучно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створені</w:t>
      </w:r>
      <w:proofErr w:type="spellEnd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об'єкти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ботанічні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сади,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дендрологічні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парки (мал. 31),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зоологічні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парки, парки -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садово-паркового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Заказники, пам’ятки природи, ботанічні сади, дендрологічні парки, зоологічні парки та парки - пам’ятки садово-паркового мистецтва залежно від їхньої екологічної і наукової, історико-культурної цінності можуть бути загальнодержавного або місцевого значення.</w:t>
      </w:r>
    </w:p>
    <w:p w:rsidR="00401790" w:rsidRPr="00401790" w:rsidRDefault="00401790" w:rsidP="0040179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"Про природно-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фонд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подано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класифікацію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ПЗФ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  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складу природно-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фонду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входять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як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штучно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1E3D2C" wp14:editId="7B1D8072">
            <wp:extent cx="3095625" cy="3324225"/>
            <wp:effectExtent l="19050" t="0" r="9525" b="0"/>
            <wp:docPr id="1" name="Рисунок 1" descr="http://eco.com.ua/sites/eco.com.ua/files/lib1/ref/ris/0021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co.com.ua/sites/eco.com.ua/files/lib1/ref/ris/0021/image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    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Державний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природно-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фонд -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складна система, яка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себе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ідсистеми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1)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науково-дослідну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біосферні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парки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садово-паркового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3)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ресурсновідновну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(заказники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4)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науково-дослідну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ботанічні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сади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дендрологічні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зоологічні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парки).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заказники,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ботанічні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сади,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дендрологічні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парки,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зоологічні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парки та парки -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садово-паркового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отримують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 державного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01790" w:rsidRPr="00401790" w:rsidRDefault="00401790" w:rsidP="0040179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</w:t>
      </w:r>
    </w:p>
    <w:p w:rsidR="00401790" w:rsidRPr="00401790" w:rsidRDefault="00401790" w:rsidP="0040179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Залежно від походження та інших особливостей природних комплексів та об'єктів, що оголошуються заказниками чи пам'ятками природи, заказники поділяються на ландшафтні, лісові, ботанічні,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загальнозоологічні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орнітологічні, ентомологічні, іхтіологічні, гідрологічні, геологічні, палеонтологічні та карстово-спелеологічні; пам'ятки природи поділяються на комплексні, ботанічні, зоологічні, гідрологічні та геологічні.</w:t>
      </w:r>
    </w:p>
    <w:p w:rsidR="00401790" w:rsidRPr="00401790" w:rsidRDefault="00401790" w:rsidP="0040179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Станом на 1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січня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2004 р. природно-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мережа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охоплювала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7023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площею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2,7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млн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га.</w:t>
      </w:r>
    </w:p>
    <w:p w:rsidR="00401790" w:rsidRPr="00401790" w:rsidRDefault="00401790" w:rsidP="0040179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заказники й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найбільше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найбільшу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територіально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функціонально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Як правило,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невеликі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площею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буферних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зон. </w:t>
      </w:r>
    </w:p>
    <w:p w:rsidR="00401790" w:rsidRPr="00401790" w:rsidRDefault="00401790" w:rsidP="00401790">
      <w:pPr>
        <w:spacing w:after="0"/>
        <w:jc w:val="both"/>
        <w:rPr>
          <w:rFonts w:ascii="Times New Roman" w:eastAsia="Times New Roman" w:hAnsi="Times New Roman" w:cs="Times New Roman"/>
          <w:color w:val="453427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суміжних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територіях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зводиться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розміщувати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поблизу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природно-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фонду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екологічно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небезпечне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виробництво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незахищеності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периферійних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ділянок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статусом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суворого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сільськогосподарської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лісогосподарської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промислового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виробництва</w:t>
      </w:r>
      <w:proofErr w:type="spellEnd"/>
      <w:r w:rsidRPr="00401790">
        <w:rPr>
          <w:rFonts w:ascii="Times New Roman" w:eastAsia="Times New Roman" w:hAnsi="Times New Roman" w:cs="Times New Roman"/>
          <w:color w:val="453427"/>
          <w:sz w:val="28"/>
          <w:szCs w:val="28"/>
          <w:lang w:eastAsia="ru-RU"/>
        </w:rPr>
        <w:t xml:space="preserve"> </w:t>
      </w:r>
    </w:p>
    <w:p w:rsidR="00401790" w:rsidRPr="00401790" w:rsidRDefault="00401790" w:rsidP="00401790">
      <w:pPr>
        <w:spacing w:after="0"/>
        <w:jc w:val="both"/>
        <w:rPr>
          <w:rFonts w:ascii="Times New Roman" w:eastAsia="Times New Roman" w:hAnsi="Times New Roman" w:cs="Times New Roman"/>
          <w:color w:val="453427"/>
          <w:sz w:val="28"/>
          <w:szCs w:val="28"/>
          <w:lang w:eastAsia="ru-RU"/>
        </w:rPr>
      </w:pPr>
      <w:proofErr w:type="spellStart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>Таблиця</w:t>
      </w:r>
      <w:proofErr w:type="spellEnd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val="uk-UA" w:eastAsia="ru-RU"/>
        </w:rPr>
        <w:t>1</w:t>
      </w:r>
      <w:proofErr w:type="gramStart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val="uk-UA" w:eastAsia="ru-RU"/>
        </w:rPr>
        <w:t xml:space="preserve"> </w:t>
      </w:r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br/>
      </w:r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val="uk-UA" w:eastAsia="ru-RU"/>
        </w:rPr>
        <w:t xml:space="preserve">                  </w:t>
      </w:r>
      <w:proofErr w:type="spellStart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>Б</w:t>
      </w:r>
      <w:proofErr w:type="gramEnd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>іосферні</w:t>
      </w:r>
      <w:proofErr w:type="spellEnd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>заповідники</w:t>
      </w:r>
      <w:proofErr w:type="spellEnd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b/>
          <w:bCs/>
          <w:color w:val="453427"/>
          <w:sz w:val="28"/>
          <w:szCs w:val="28"/>
          <w:lang w:eastAsia="ru-RU"/>
        </w:rPr>
        <w:t>України</w:t>
      </w:r>
      <w:proofErr w:type="spellEnd"/>
    </w:p>
    <w:tbl>
      <w:tblPr>
        <w:tblW w:w="107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2098"/>
        <w:gridCol w:w="2787"/>
        <w:gridCol w:w="1396"/>
        <w:gridCol w:w="1435"/>
        <w:gridCol w:w="2487"/>
      </w:tblGrid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з/</w:t>
            </w:r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ідпорядкування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ік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створення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Загальна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га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земель </w:t>
            </w:r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ійному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користуванні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га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іосферні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заповідники</w:t>
            </w:r>
            <w:proofErr w:type="spellEnd"/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Асканія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33 307,6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11312,3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Чорноморський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89 129,0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70 509,0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Карпатський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Мінекоресурсів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53 630,0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31977,0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Дунайський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46 402,9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22 662,0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Східні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Карпати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Мінекоресурсів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Природні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заповідники</w:t>
            </w:r>
            <w:proofErr w:type="spellEnd"/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Кримський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Державне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44 175,5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44 175,5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Канівський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Національний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університет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імені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Т.Г.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Шевченка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2 049,3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2 049,3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Український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степовий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2 768,4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2 768,4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Луганський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1 575,5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1 575,5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Поліський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Держкомлісгосп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20 104,0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20 104,0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Ялтинський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гірсько-лісовий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Держкомлісгосп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14 523,0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14 523,0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Мартьян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Карадазький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2 855,2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2 855,2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Розточчя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Міносвіти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2 084,5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2 084,5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Медобори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Держкомлісгосп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10 516,7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10 516,7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Дніпровсько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Орільський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Держкомлісгосп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3 766,2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3 766,2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Єланецький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Мінекоресурсів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1675,7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1675,7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Ґорґани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Мінекоресурсів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5 344,2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5 344,2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Казантипський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Мінекоресурсів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450,1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450,1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Опуцький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Мінекоресурсів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1 592,3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1592,3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івненський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Держкомлісгосп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47 046,8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47 046,8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Черемоський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Держкомлісгосп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2 975,7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2 975,7</w:t>
            </w:r>
          </w:p>
        </w:tc>
      </w:tr>
    </w:tbl>
    <w:p w:rsidR="00401790" w:rsidRPr="00401790" w:rsidRDefault="00401790" w:rsidP="00401790">
      <w:pPr>
        <w:shd w:val="clear" w:color="auto" w:fill="FFFFFF"/>
        <w:spacing w:before="90" w:after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Жорстке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господарського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резервованих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викликає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супроводжується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порушеннями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законодавства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зокрема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науково-дослідної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ставлять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жорстку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залежність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державного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фінансування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знаходиться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 не на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належному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Окрім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найбільш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утворення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практично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недоступними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відвідування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закордонними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вітчизняними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громадянами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Працівники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розуміючи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складність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цієї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часто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проводять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краєзнавчу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екскурсійну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діяльність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мотивуючи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необхідністю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екоосвітньої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ековиховної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є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діяльність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керівництвом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працівників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облаштованих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екологічних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стежках,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вимагає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коштів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after="0"/>
        <w:jc w:val="both"/>
        <w:rPr>
          <w:rFonts w:ascii="Georgia" w:eastAsia="Times New Roman" w:hAnsi="Georgia" w:cs="Times New Roman"/>
          <w:color w:val="453427"/>
          <w:sz w:val="21"/>
          <w:szCs w:val="21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Натомість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туристів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дедалі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набувають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 природно-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фонду,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поліфункціональне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парки й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регіональні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ландшафтні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парки. У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їхньої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природокористування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займає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чільних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місць</w:t>
      </w:r>
      <w:proofErr w:type="spellEnd"/>
      <w:proofErr w:type="gramStart"/>
      <w:r w:rsidRPr="00401790">
        <w:rPr>
          <w:rFonts w:ascii="Georgia" w:eastAsia="Times New Roman" w:hAnsi="Georgia" w:cs="Times New Roman"/>
          <w:color w:val="453427"/>
          <w:sz w:val="21"/>
          <w:szCs w:val="21"/>
          <w:lang w:eastAsia="ru-RU"/>
        </w:rPr>
        <w:t xml:space="preserve"> </w:t>
      </w:r>
      <w:r w:rsidRPr="00401790">
        <w:rPr>
          <w:rFonts w:ascii="Georgia" w:eastAsia="Times New Roman" w:hAnsi="Georgia" w:cs="Times New Roman"/>
          <w:color w:val="453427"/>
          <w:sz w:val="21"/>
          <w:szCs w:val="21"/>
          <w:lang w:val="uk-UA" w:eastAsia="ru-RU"/>
        </w:rPr>
        <w:t>.</w:t>
      </w:r>
      <w:proofErr w:type="gramEnd"/>
      <w:r w:rsidRPr="00401790">
        <w:rPr>
          <w:rFonts w:ascii="Georgia" w:eastAsia="Times New Roman" w:hAnsi="Georgia" w:cs="Times New Roman"/>
          <w:color w:val="453427"/>
          <w:sz w:val="21"/>
          <w:szCs w:val="21"/>
          <w:lang w:eastAsia="ru-RU"/>
        </w:rPr>
        <w:t> </w:t>
      </w:r>
    </w:p>
    <w:p w:rsidR="00401790" w:rsidRPr="00401790" w:rsidRDefault="00401790" w:rsidP="00401790">
      <w:pPr>
        <w:shd w:val="clear" w:color="auto" w:fill="F4E9C3"/>
        <w:spacing w:after="0" w:line="315" w:lineRule="atLeast"/>
        <w:jc w:val="center"/>
        <w:rPr>
          <w:rFonts w:ascii="Georgia" w:eastAsia="Times New Roman" w:hAnsi="Georgia" w:cs="Times New Roman"/>
          <w:color w:val="453427"/>
          <w:sz w:val="21"/>
          <w:szCs w:val="21"/>
          <w:lang w:eastAsia="ru-RU"/>
        </w:rPr>
      </w:pPr>
      <w:proofErr w:type="spellStart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>Таблиця</w:t>
      </w:r>
      <w:proofErr w:type="spellEnd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 xml:space="preserve"> </w:t>
      </w:r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val="uk-UA" w:eastAsia="ru-RU"/>
        </w:rPr>
        <w:t xml:space="preserve">2 </w:t>
      </w:r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>. </w:t>
      </w:r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1"/>
          <w:lang w:eastAsia="ru-RU"/>
        </w:rPr>
        <w:br/>
      </w:r>
      <w:proofErr w:type="spellStart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>Національні</w:t>
      </w:r>
      <w:proofErr w:type="spellEnd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 xml:space="preserve"> </w:t>
      </w:r>
      <w:proofErr w:type="spellStart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>природні</w:t>
      </w:r>
      <w:proofErr w:type="spellEnd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 xml:space="preserve"> парки та </w:t>
      </w:r>
      <w:proofErr w:type="spellStart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>їх</w:t>
      </w:r>
      <w:proofErr w:type="spellEnd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 xml:space="preserve"> мережа в </w:t>
      </w:r>
      <w:proofErr w:type="spellStart"/>
      <w:r w:rsidRPr="00401790">
        <w:rPr>
          <w:rFonts w:ascii="Georgia" w:eastAsia="Times New Roman" w:hAnsi="Georgia" w:cs="Times New Roman"/>
          <w:b/>
          <w:bCs/>
          <w:color w:val="453427"/>
          <w:sz w:val="21"/>
          <w:szCs w:val="20"/>
          <w:lang w:eastAsia="ru-RU"/>
        </w:rPr>
        <w:t>Україні</w:t>
      </w:r>
      <w:proofErr w:type="spellEnd"/>
    </w:p>
    <w:tbl>
      <w:tblPr>
        <w:tblW w:w="107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853"/>
        <w:gridCol w:w="1671"/>
        <w:gridCol w:w="2188"/>
        <w:gridCol w:w="3290"/>
      </w:tblGrid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з/</w:t>
            </w:r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ік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створення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Загальна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га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земель</w:t>
            </w:r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</w:t>
            </w:r>
            <w:proofErr w:type="gram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ійному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користуванні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га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Карпатський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50 303,0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38 591,0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Шацький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48 977,0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18 810,0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Синевир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40 400,0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27 208,0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Азово-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Сиваський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52 154,0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52 154,0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Вижницький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7 928,4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7 013,4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Подільські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Товтри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261316,0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3 015,0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Святі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40 589,0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11878,0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Яворівський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7 078,6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2 885,5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Сколівські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Бескиди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35 684,0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24 702,0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Деснянсько-Старогутський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16 215,1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7 272,6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Ужанський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39 159,3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14 904,6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Гуцульщина</w:t>
            </w:r>
            <w:proofErr w:type="spellEnd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32 271,0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7 606,6</w:t>
            </w:r>
          </w:p>
        </w:tc>
      </w:tr>
      <w:tr w:rsidR="00401790" w:rsidRPr="00401790" w:rsidTr="000B42B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Галицький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14 600,0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01790" w:rsidRPr="00401790" w:rsidRDefault="00401790" w:rsidP="00401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14 600,0</w:t>
            </w:r>
          </w:p>
        </w:tc>
      </w:tr>
    </w:tbl>
    <w:p w:rsidR="00401790" w:rsidRPr="00401790" w:rsidRDefault="00401790" w:rsidP="0040179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Georgia" w:eastAsia="Times New Roman" w:hAnsi="Georgia" w:cs="Times New Roman"/>
          <w:color w:val="453427"/>
          <w:sz w:val="21"/>
          <w:szCs w:val="21"/>
          <w:lang w:eastAsia="ru-RU"/>
        </w:rPr>
        <w:t>      </w:t>
      </w:r>
      <w:r w:rsidRPr="00401790">
        <w:rPr>
          <w:rFonts w:ascii="Georgia" w:eastAsia="Times New Roman" w:hAnsi="Georgia" w:cs="Times New Roman"/>
          <w:color w:val="453427"/>
          <w:sz w:val="21"/>
          <w:szCs w:val="21"/>
          <w:lang w:eastAsia="ru-RU"/>
        </w:rPr>
        <w:br/>
        <w:t>     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парки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природоохоронною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функцією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категорії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національному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практично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розв'язується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суперечність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рекреаційним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цільового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статусу,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територіальної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ландшафтної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С. М. Стойко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ілив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Науково-дослідна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функція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Полягає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територіях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систематичних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стаціонарних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іджень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науковому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обґрунтуванні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раціонального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природокористування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навантаження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Екологічна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функція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екологічних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іальних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туристам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екскурсантам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відіграє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роль у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формуванні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фінансових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ПЗФ в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ринкових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відносин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</w:t>
      </w:r>
      <w:proofErr w:type="gram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іальна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функція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паркам,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охоронним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ландшафтним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районам, паркам-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пам'ятникам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садово-паркового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існуючих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темпів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урбанізації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ними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стоїть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рекреаційними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ресурсами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мі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індустріально-промислових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агломерацій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Природо-пізнавальна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функція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екосистемам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природного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культурного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походження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екосистеми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змогу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ознайомитись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туристам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краєзнавцям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визначними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пам'ятками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явищами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красивими пейзажами; відвідати екологічно чисті об'єкти; побачити екзотичний тваринний і рослинний світ; відвідати історичні місця і споруди; познайомитись з інтродукованими видами рослин і тварин та їх адаптацією до нових екологічних умов.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Культурно-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освітня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 дидактична 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функція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Полягає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сприянні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загальноосвітньої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природничого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краєзнавчого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ітогляду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вихованні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природоохоронної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відповідальності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стан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загальнолюдського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багатства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Історичний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біосфери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свідчить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багатств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біологічного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виживання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 й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інтелектуального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духовного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Ландшафтно-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естетична</w:t>
      </w:r>
      <w:proofErr w:type="spellEnd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функція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Розуміючи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навколишньої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здавна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прагнула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зберегти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неї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а й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естетично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вартісні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ландшафти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XIX ст.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створювалися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прекрасні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ландшафтні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парки (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Софіївка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Олександрія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Тростянець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ботанічні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сади,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бралися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охорону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мальовничі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скелі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старі</w:t>
      </w:r>
      <w:proofErr w:type="spellEnd"/>
      <w:r w:rsidRPr="00401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й урочища. 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453427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453427"/>
          <w:sz w:val="28"/>
          <w:szCs w:val="28"/>
          <w:lang w:eastAsia="ru-RU"/>
        </w:rPr>
        <w:t> 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Станом на 1.01.2007 р. в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налічувалося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біосферні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17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17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45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регіональних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ландшафтних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парків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понад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2700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заказників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понад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3000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пам’яток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25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ботанічних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садів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12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зоопарків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43 дендропарки, 540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пам’яток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садово-паркового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790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урочищ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площею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млн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га.</w:t>
      </w:r>
    </w:p>
    <w:p w:rsidR="00401790" w:rsidRPr="00401790" w:rsidRDefault="00401790" w:rsidP="00401790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453427"/>
          <w:sz w:val="28"/>
          <w:szCs w:val="28"/>
          <w:lang w:eastAsia="ru-RU"/>
        </w:rPr>
      </w:pP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Упродовж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зросла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парків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 47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одиниць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збільшилися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ними, 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становить 1 184 814 га,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сприяло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зростанню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частки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5,7 %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екологічні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спостереження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показують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генофонду будь-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регіону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10-15 %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заповідності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Нарощування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є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самоціллю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особливого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ефекту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дасть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цілеспрямовано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формувати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екологічні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виконуватимуть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</w:t>
      </w:r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046EC5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  <w:t>4.</w:t>
      </w:r>
      <w:r w:rsidR="00401790" w:rsidRPr="00401790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  <w:t xml:space="preserve">Причини і наслідки деградації </w:t>
      </w:r>
      <w:proofErr w:type="spellStart"/>
      <w:r w:rsidR="00401790" w:rsidRPr="00401790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  <w:t>біорізноманіття</w:t>
      </w:r>
      <w:proofErr w:type="spellEnd"/>
      <w:r w:rsidR="00401790" w:rsidRPr="00401790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  <w:t>.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82"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val="uk-UA" w:eastAsia="ru-RU"/>
        </w:rPr>
        <w:t>Руйнування природного середовища життя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  <w:t xml:space="preserve">Це основна причина вимирання біологічних видів. Сюди належить заготовка </w:t>
      </w:r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 xml:space="preserve">деревини, добування корисних копалин, вируб лісу під пасовища, будівництво </w:t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t>дамб і автомагістралей на місці незайманих ділянок дикої природи. Екосисте</w:t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 w:eastAsia="ru-RU"/>
        </w:rPr>
        <w:t>ми змушені «відступати», а флора й фауна, що живе в них, утрачає необхідні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>умови існування. Природне середовище розчленовується, руйнується і знищу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softHyphen/>
        <w:t>ється. Порушуються маршрути міграцій. Генетичне різноманіття бідніє. Попу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t>ляції тварин і рослин не можуть протистояти хворобам та іншим несприятли</w:t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>вим факторам. Урешті-решт біологічні види один за одним вимирають.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58" w:after="0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val="uk-UA" w:eastAsia="ru-RU"/>
        </w:rPr>
        <w:t>Чужорідні види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10" w:after="0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 w:eastAsia="ru-RU"/>
        </w:rPr>
        <w:t xml:space="preserve">Коли людина ввозить у будь-яку екосистему чужорідні біологічні види, </w:t>
      </w:r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вони можуть зайняти екологічні ніші, що до того належали іншим видам. Іноді чужорідні види змінюють усю екосистему настільки, що витісняють інші види, або приносять із собою такі хвороби, проти яких у них немає імунітету.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58"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i/>
          <w:iCs/>
          <w:color w:val="000000"/>
          <w:spacing w:val="9"/>
          <w:sz w:val="28"/>
          <w:szCs w:val="28"/>
          <w:lang w:val="uk-UA" w:eastAsia="ru-RU"/>
        </w:rPr>
        <w:t>Надмірна експлуатація природних ресурсів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5"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 w:eastAsia="ru-RU"/>
        </w:rPr>
        <w:t>Деякі біологічні види гинуть саме з цієї причини. Яскравий приклад цьо</w:t>
      </w:r>
      <w:r w:rsidRPr="0040179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 xml:space="preserve">го — мандруючий голуб. На початку 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XIX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>століття популяція цих птахів у Пів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t>нічній Америці була найчисельнішою. Але наприкінці того ж століття, у ре</w:t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 w:eastAsia="ru-RU"/>
        </w:rPr>
        <w:t xml:space="preserve">зультаті полювання на них, цей вид опинився на межі зникнення, а у вересні 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 xml:space="preserve">1914 року в зоопарку міста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>Цінціннаті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 xml:space="preserve"> помер останній мандруючий голуб.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62"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i/>
          <w:iCs/>
          <w:color w:val="000000"/>
          <w:spacing w:val="8"/>
          <w:sz w:val="28"/>
          <w:szCs w:val="28"/>
          <w:lang w:val="uk-UA" w:eastAsia="ru-RU"/>
        </w:rPr>
        <w:t>Швидке зростання населення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середині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XIX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століття чисельність населення Землі складала один мільярд </w:t>
      </w:r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 xml:space="preserve">осіб. Через півтора століття, коли ця кількість збільшилася до шести мільярдів, 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люди стали замислюватися, що використання ними природних ресурсів переви</w:t>
      </w: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 xml:space="preserve">щує допустимі норми. Населення нашої планети невпинно зростає, і з кожним </w:t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t>роком темпи витіснення нами різних видів тварин викликає все більше три</w:t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ru-RU"/>
        </w:rPr>
        <w:t>воги.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62"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i/>
          <w:iCs/>
          <w:color w:val="000000"/>
          <w:spacing w:val="8"/>
          <w:sz w:val="28"/>
          <w:szCs w:val="28"/>
          <w:lang w:val="uk-UA" w:eastAsia="ru-RU"/>
        </w:rPr>
        <w:t>Загроза глобального потепління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5" w:after="0"/>
        <w:ind w:right="5" w:firstLine="709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Згідно з оцінками Міжурядової комісії з кліматичних змін, протягом остан</w:t>
      </w:r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softHyphen/>
        <w:t xml:space="preserve">нього століття температура на Землі може підвищитися на 3,5 градуса за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Цель-</w:t>
      </w:r>
      <w:r w:rsidRPr="0040179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uk-UA" w:eastAsia="ru-RU"/>
        </w:rPr>
        <w:t>сієм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uk-UA" w:eastAsia="ru-RU"/>
        </w:rPr>
        <w:t xml:space="preserve">. Таке різке потепління може викликати зникнення деяких видів тварин 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>і рослин. За даними досліджень, підвищення температури води — одна з при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softHyphen/>
        <w:t>чин загибелі коралових рифів, які є середовищем життя багатьох морських ор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t>ганізмів.</w:t>
      </w:r>
    </w:p>
    <w:p w:rsidR="00401790" w:rsidRPr="00401790" w:rsidRDefault="00401790" w:rsidP="00401790">
      <w:pPr>
        <w:widowControl w:val="0"/>
        <w:shd w:val="clear" w:color="auto" w:fill="FFFFFF"/>
        <w:autoSpaceDE w:val="0"/>
        <w:autoSpaceDN w:val="0"/>
        <w:adjustRightInd w:val="0"/>
        <w:spacing w:before="5" w:after="0"/>
        <w:ind w:right="5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оцінками вчених, підняття рівня Світового океану на 1 м може призвести 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>до затоплення великих прибережних ділянок заболочених земель, багатих різ</w:t>
      </w:r>
      <w:r w:rsidRPr="0040179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softHyphen/>
      </w:r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номанітною флорою та фауною. Деякі вчені вважають, що глобальне потеплін</w:t>
      </w:r>
      <w:r w:rsidRPr="0040179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softHyphen/>
        <w:t>ня викличе танення льодового покриву Гренландії й Антарктиди, а це загрожує екологічною катастрофою.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1.Наявна мережа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заповідних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охоплює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42 %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рослин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тварин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незначну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частку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ландшафтного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ізноманіття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Тому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системного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ідходу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охорони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закладена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екомереж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провідною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XXI ст.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Україна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володіє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третім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Франції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біорізноманіттям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Європи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Тому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загальнодержавної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формування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національної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екомережі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сприятиме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своєчасному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відновленню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видового, </w:t>
      </w:r>
      <w:proofErr w:type="spell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генетичного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ландшафтного </w:t>
      </w:r>
      <w:proofErr w:type="spellStart"/>
      <w:proofErr w:type="gramStart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ізноманіть</w:t>
      </w:r>
      <w:proofErr w:type="spellEnd"/>
      <w:r w:rsidRPr="004017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1790" w:rsidRPr="00401790" w:rsidRDefault="00401790" w:rsidP="0040179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01790" w:rsidRPr="00401790" w:rsidRDefault="00401790" w:rsidP="004017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01790" w:rsidRPr="00401790" w:rsidRDefault="00401790" w:rsidP="004017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F964B3" w:rsidRPr="00F964B3" w:rsidRDefault="00F964B3">
      <w:pPr>
        <w:rPr>
          <w:lang w:val="uk-UA"/>
        </w:rPr>
      </w:pPr>
    </w:p>
    <w:sectPr w:rsidR="00F964B3" w:rsidRPr="00F964B3" w:rsidSect="00A255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D8"/>
    <w:rsid w:val="00046EC5"/>
    <w:rsid w:val="000B7A3E"/>
    <w:rsid w:val="00401790"/>
    <w:rsid w:val="00A255D8"/>
    <w:rsid w:val="00F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B3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4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B3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4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znonasharu.org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3063</Words>
  <Characters>17464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2021-02-01T10:13:00Z</dcterms:created>
  <dcterms:modified xsi:type="dcterms:W3CDTF">2021-02-01T11:19:00Z</dcterms:modified>
</cp:coreProperties>
</file>