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763"/>
        <w:gridCol w:w="2880"/>
        <w:gridCol w:w="1951"/>
        <w:gridCol w:w="1780"/>
        <w:gridCol w:w="1646"/>
        <w:gridCol w:w="2599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     Strongly disagree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     Disagree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     Neutral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     Agree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     Strongly Agree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3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Chatbot   increase awareness of the importance of addressing COVID-19 myths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(30%)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Chatbot is likely to increase intentions/motivation to get COVID-19 vaccination/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(16%)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WhatsApp Chatbot  is likely to encourage the general public to test for COVID-19/ Vaccinated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(19%)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WhatsApp Chatbot  is likely to increase COVID-19-related healthy behaviours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(27%)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WhatsApp Chatbot is  likely to increase knowledge/understanding of COVID-19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(33%)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WhatsApp Chatbot is likely to change attitudes toward improving COVID-19 response.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(63%)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(23%)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2025-09-03T13:17:57Z</dcterms:modified>
  <cp:category/>
</cp:coreProperties>
</file>