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53"/>
        <w:gridCol w:w="1303"/>
      </w:tblGrid>
      <w:tr>
        <w:trPr>
          <w:trHeight w:val="4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chatbot_graphics_are_of_quality_resolution_for_used_icons_menus_content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    Moderate-quality graphics and visual design (generally consistent in style)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    High-quality/resolution graphics and visual design – mostly proportionate, stylistically consistent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(35%)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    Very high-quality/resolution graphics and visual design - proportionate, stylistically consistent  throughout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(32%)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chatbot_content_visual_is_appeal_font_color_and_size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     Little visual appeal – poorly designed, bad use of colour/font/Size, visually boring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(8.3%)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     Some visual appeal – average, neither pleasant nor unpleasant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     High level of visual appeal – seamless graphics – consistent and professionally designed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     As above + very attractive, memorable, stands out; use of colour enhances app features/menus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(25%)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2024-12-08T09:16:00Z</dcterms:modified>
  <cp:category/>
</cp:coreProperties>
</file>