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line="360"/>
        <w:jc w:val="center"/>
      </w:pPr>
      <w:r>
        <w:rPr>
          <w:rFonts w:ascii="Cambria" w:cs="Cambria" w:eastAsia="Cambria" w:hAnsi="Cambria"/>
          <w:b/>
          <w:bCs/>
          <w:color w:val="000000"/>
          <w:sz w:val="36"/>
          <w:szCs w:val="36"/>
        </w:rPr>
        <w:t xml:space="preserve">YABANCILARIN TÜRKİYE’DE ARAÇ KULLANABİLMESİ VE EHLİYET TEBDİL İŞLEMLERİ</w:t>
      </w:r>
    </w:p>
    <w:p>
      <w:pPr>
        <w:spacing w:after="480" w:before="0" w:line="280"/>
        <w:jc w:val="center"/>
      </w:pPr>
      <w:r>
        <w:rPr>
          <w:rFonts w:ascii="Cambria" w:cs="Cambria" w:eastAsia="Cambria" w:hAnsi="Cambria"/>
          <w:i/>
          <w:iCs/>
          <w:color w:val="000000"/>
          <w:sz w:val="24"/>
          <w:szCs w:val="24"/>
        </w:rPr>
        <w:t xml:space="preserve">Hukuki Çerçeve, Güncel Mevzuat ve Uygulama Rehberi</w:t>
      </w:r>
    </w:p>
    <w:p>
      <w:pPr>
        <w:pStyle w:val="Heading1"/>
        <w:keepNext/>
        <w:spacing w:after="200" w:before="360" w:line="320"/>
      </w:pPr>
      <w:r>
        <w:rPr>
          <w:rFonts w:ascii="Cambria" w:cs="Cambria" w:eastAsia="Cambria" w:hAnsi="Cambria"/>
          <w:b/>
          <w:bCs/>
          <w:color w:val="000000"/>
          <w:sz w:val="28"/>
          <w:szCs w:val="28"/>
        </w:rPr>
        <w:t xml:space="preserve">Genel Çerçeve: Yabancı Ehliyet Tebdili Nedir?</w:t>
      </w:r>
    </w:p>
    <w:p>
      <w:pPr>
        <w:spacing w:after="160" w:before="0" w:line="320"/>
        <w:jc w:val="both"/>
      </w:pPr>
      <w:r>
        <w:rPr>
          <w:rFonts w:ascii="Cambria" w:cs="Cambria" w:eastAsia="Cambria" w:hAnsi="Cambria"/>
          <w:color w:val="000000"/>
          <w:sz w:val="22"/>
          <w:szCs w:val="22"/>
        </w:rPr>
        <w:t xml:space="preserve">Yabancı sürücü belgesinin tebdili; yurt dışından alınmış geçerli bir sürücü belgesinin, Türkiye Cumhuriyeti makamlarınca düzenlenen Türk sürücü belgesi ile değiştirilmesi işlemidir. Söz konusu işlem, 01/01/2016 tarihinde Emniyet Genel Müdürlüğünden devralındığı tarihten itibaren Nüfus ve Vatandaşlık İşleri Genel Müdürlüğü (NVİGM) tarafından yürütülmekte olup başvurular il ve ilçe nüfus müdürlüklerine yapılmaktadır.</w:t>
      </w:r>
    </w:p>
    <w:p>
      <w:pPr>
        <w:spacing w:after="160" w:before="0" w:line="320"/>
        <w:jc w:val="both"/>
      </w:pPr>
      <w:r>
        <w:rPr>
          <w:rFonts w:ascii="Cambria" w:cs="Cambria" w:eastAsia="Cambria" w:hAnsi="Cambria"/>
          <w:color w:val="000000"/>
          <w:sz w:val="22"/>
          <w:szCs w:val="22"/>
        </w:rPr>
        <w:t xml:space="preserve">Ancak her yabancı sürücü belgesi tebdile uygun değildir. Tebdil işleminin yapılabilmesi, sürücü belgesinin düzenlendiği ülkenin Türkiye’nin taraf olduğu 1968 tarihli Karayolu Trafiği Konvansiyonu (Viyana) kapsamında bulunmasına ya da Türkiye ile sürücü belgelerinin karşılıklı tanınması ve değişimine ilişkin ikili anlaşma akdetmiş olmasına bağlıdır. Konvansiyona taraf olmayan ve Türkiye ile ikili anlaşması bulunmayan ülkelerden alınan sürücü belgeleri kural olarak Türk sürücü belgesi ile değiştirilemez; bu kişilerin Türkiye’de araç kullanabilmesi için Türk mevzuatına göre yeniden sürücü belgesi alma sürecini tamamlamaları gerekir.</w:t>
      </w:r>
    </w:p>
    <w:p>
      <w:pPr>
        <w:pStyle w:val="Heading1"/>
        <w:keepNext/>
        <w:spacing w:after="200" w:before="360" w:line="320"/>
      </w:pPr>
      <w:r>
        <w:rPr>
          <w:rFonts w:ascii="Cambria" w:cs="Cambria" w:eastAsia="Cambria" w:hAnsi="Cambria"/>
          <w:b/>
          <w:bCs/>
          <w:color w:val="000000"/>
          <w:sz w:val="28"/>
          <w:szCs w:val="28"/>
        </w:rPr>
        <w:t xml:space="preserve">Hukuki Dayanak</w:t>
      </w:r>
    </w:p>
    <w:p>
      <w:pPr>
        <w:spacing w:after="160" w:before="0" w:line="320"/>
        <w:jc w:val="both"/>
      </w:pPr>
      <w:r>
        <w:rPr>
          <w:rFonts w:ascii="Cambria" w:cs="Cambria" w:eastAsia="Cambria" w:hAnsi="Cambria"/>
          <w:color w:val="000000"/>
          <w:sz w:val="22"/>
          <w:szCs w:val="22"/>
        </w:rPr>
        <w:t xml:space="preserve">Yabancı sürücü belgelerinin Türk sürücü belgesi ile değiştirilmesine ilişkin temel düzenlemeler şu mevzuatta yer almaktadır:</w:t>
      </w:r>
    </w:p>
    <w:p>
      <w:pPr>
        <w:pStyle w:val="ListParagraph"/>
        <w:numPr>
          <w:ilvl w:val="0"/>
          <w:numId w:val="2"/>
        </w:numPr>
        <w:spacing w:after="100" w:before="0" w:line="300"/>
      </w:pPr>
      <w:r>
        <w:rPr>
          <w:rFonts w:ascii="Cambria" w:cs="Cambria" w:eastAsia="Cambria" w:hAnsi="Cambria"/>
          <w:b/>
          <w:bCs/>
          <w:color w:val="000000"/>
          <w:sz w:val="22"/>
          <w:szCs w:val="22"/>
        </w:rPr>
        <w:t xml:space="preserve">2918 sayılı Karayolları Trafik Kanunu</w:t>
      </w:r>
      <w:r>
        <w:rPr>
          <w:rFonts w:ascii="Cambria" w:cs="Cambria" w:eastAsia="Cambria" w:hAnsi="Cambria"/>
          <w:color w:val="000000"/>
          <w:sz w:val="22"/>
          <w:szCs w:val="22"/>
        </w:rPr>
        <w:t xml:space="preserve"> (özellikle 38 ve 42. maddeler).</w:t>
      </w:r>
    </w:p>
    <w:p>
      <w:pPr>
        <w:pStyle w:val="ListParagraph"/>
        <w:numPr>
          <w:ilvl w:val="0"/>
          <w:numId w:val="2"/>
        </w:numPr>
        <w:spacing w:after="100" w:before="0" w:line="300"/>
      </w:pPr>
      <w:r>
        <w:rPr>
          <w:rFonts w:ascii="Cambria" w:cs="Cambria" w:eastAsia="Cambria" w:hAnsi="Cambria"/>
          <w:b/>
          <w:bCs/>
          <w:color w:val="000000"/>
          <w:sz w:val="22"/>
          <w:szCs w:val="22"/>
        </w:rPr>
        <w:t xml:space="preserve">Karayolları Trafik Yönetmeliği</w:t>
      </w:r>
      <w:r>
        <w:rPr>
          <w:rFonts w:ascii="Cambria" w:cs="Cambria" w:eastAsia="Cambria" w:hAnsi="Cambria"/>
          <w:color w:val="000000"/>
          <w:sz w:val="22"/>
          <w:szCs w:val="22"/>
        </w:rPr>
        <w:t xml:space="preserve">’nin 88. maddesi; yabancı sürücü belgelerinin kullanım süresi ile tebdil edilen yabancı belgelerin ilgili ülkeye iadesi hususunda düzenleyici hüküm içerir.</w:t>
      </w:r>
    </w:p>
    <w:p>
      <w:pPr>
        <w:pStyle w:val="ListParagraph"/>
        <w:numPr>
          <w:ilvl w:val="0"/>
          <w:numId w:val="2"/>
        </w:numPr>
        <w:spacing w:after="100" w:before="0" w:line="300"/>
      </w:pPr>
      <w:r>
        <w:rPr>
          <w:rFonts w:ascii="Cambria" w:cs="Cambria" w:eastAsia="Cambria" w:hAnsi="Cambria"/>
          <w:b/>
          <w:bCs/>
          <w:color w:val="000000"/>
          <w:sz w:val="22"/>
          <w:szCs w:val="22"/>
        </w:rPr>
        <w:t xml:space="preserve">1968 tarihli Viyana Karayolu Trafiği Konvansiyonu</w:t>
      </w:r>
      <w:r>
        <w:rPr>
          <w:rFonts w:ascii="Cambria" w:cs="Cambria" w:eastAsia="Cambria" w:hAnsi="Cambria"/>
          <w:color w:val="000000"/>
          <w:sz w:val="22"/>
          <w:szCs w:val="22"/>
        </w:rPr>
        <w:t xml:space="preserve"> ve bu konvansiyonu tamamlayıcı Avrupa Anlaşması hükümleri.</w:t>
      </w:r>
    </w:p>
    <w:p>
      <w:pPr>
        <w:pStyle w:val="ListParagraph"/>
        <w:numPr>
          <w:ilvl w:val="0"/>
          <w:numId w:val="2"/>
        </w:numPr>
        <w:spacing w:after="100" w:before="0" w:line="300"/>
      </w:pPr>
      <w:r>
        <w:rPr>
          <w:rFonts w:ascii="Cambria" w:cs="Cambria" w:eastAsia="Cambria" w:hAnsi="Cambria"/>
          <w:b/>
          <w:bCs/>
          <w:color w:val="000000"/>
          <w:sz w:val="22"/>
          <w:szCs w:val="22"/>
        </w:rPr>
        <w:t xml:space="preserve">Nüfus ve Vatandaşlık İşleri Genel Müdürlüğü</w:t>
      </w:r>
      <w:r>
        <w:rPr>
          <w:rFonts w:ascii="Cambria" w:cs="Cambria" w:eastAsia="Cambria" w:hAnsi="Cambria"/>
          <w:color w:val="000000"/>
          <w:sz w:val="22"/>
          <w:szCs w:val="22"/>
        </w:rPr>
        <w:t xml:space="preserve">’nün “Sürücü Belgesi İşlemlerine Dair Uygulama Talimatı”; idari süreci ayrıntılı biçimde düzenler.</w:t>
      </w:r>
    </w:p>
    <w:p>
      <w:pPr>
        <w:pStyle w:val="ListParagraph"/>
        <w:numPr>
          <w:ilvl w:val="0"/>
          <w:numId w:val="2"/>
        </w:numPr>
        <w:spacing w:after="100" w:before="0" w:line="300"/>
      </w:pPr>
      <w:r>
        <w:rPr>
          <w:rFonts w:ascii="Cambria" w:cs="Cambria" w:eastAsia="Cambria" w:hAnsi="Cambria"/>
          <w:b/>
          <w:bCs/>
          <w:color w:val="000000"/>
          <w:sz w:val="22"/>
          <w:szCs w:val="22"/>
        </w:rPr>
        <w:t xml:space="preserve">5490 sayılı Nüfus Hizmetleri Kanunu</w:t>
      </w:r>
      <w:r>
        <w:rPr>
          <w:rFonts w:ascii="Cambria" w:cs="Cambria" w:eastAsia="Cambria" w:hAnsi="Cambria"/>
          <w:color w:val="000000"/>
          <w:sz w:val="22"/>
          <w:szCs w:val="22"/>
        </w:rPr>
        <w:t xml:space="preserve">; başvuru sırasında alınan biyometrik verilerin işlenmesine ilişkin esasları belirler.</w:t>
      </w:r>
    </w:p>
    <w:p>
      <w:pPr>
        <w:pStyle w:val="Heading1"/>
        <w:keepNext/>
        <w:spacing w:after="200" w:before="360" w:line="320"/>
      </w:pPr>
      <w:r>
        <w:rPr>
          <w:rFonts w:ascii="Cambria" w:cs="Cambria" w:eastAsia="Cambria" w:hAnsi="Cambria"/>
          <w:b/>
          <w:bCs/>
          <w:color w:val="000000"/>
          <w:sz w:val="28"/>
          <w:szCs w:val="28"/>
        </w:rPr>
        <w:t xml:space="preserve">Türkiye’de Yabancı Ehliyetin Kullanım Süresi</w:t>
      </w:r>
    </w:p>
    <w:p>
      <w:pPr>
        <w:spacing w:after="160" w:before="0" w:line="320"/>
        <w:jc w:val="both"/>
      </w:pPr>
      <w:r>
        <w:rPr>
          <w:rFonts w:ascii="Cambria" w:cs="Cambria" w:eastAsia="Cambria" w:hAnsi="Cambria"/>
          <w:color w:val="000000"/>
          <w:sz w:val="22"/>
          <w:szCs w:val="22"/>
        </w:rPr>
        <w:t xml:space="preserve">Karayolları Trafik Yönetmeliği’nin 88. maddesi uyarınca, Türk vatandaşı olmayan yabancı uyruklu kişiler, dış ülkelerden almış oldukları sürücü belgesini Türkiye’ye son giriş tarihinden itibaren en fazla altı (6) ay süreyle kullanabilirler. Bu süre, pasaporttaki son giriş damgası tarihinden itibaren işlemeye başlar.</w:t>
      </w:r>
    </w:p>
    <w:p>
      <w:pPr>
        <w:spacing w:after="160" w:before="0" w:line="320"/>
        <w:jc w:val="both"/>
      </w:pPr>
      <w:r>
        <w:rPr>
          <w:rFonts w:ascii="Cambria" w:cs="Cambria" w:eastAsia="Cambria" w:hAnsi="Cambria"/>
          <w:color w:val="000000"/>
          <w:sz w:val="22"/>
          <w:szCs w:val="22"/>
        </w:rPr>
        <w:t xml:space="preserve">Altı aylık sürenin sonunda Türkiye’de araç kullanmaya devam edebilmek için yabancı sürücü belgesinin Türk sürücü belgesi ile değiştirilmesi (tebdil) yasal bir zorunluluktur. Bu süre dolduktan sonra tebdil işlemi yapılmaksızın araç kullanılması, hukuken “sürücü belgesiz araç kullanma” fiili kapsamında değerlendirilmekte ve 2918 sayılı Kanunun 36. maddesi uyarınca idari para cezası ile aracın trafikten men edilmesi gibi ağır yaptırımlara yol açmaktadır.</w:t>
      </w:r>
    </w:p>
    <w:p>
      <w:pPr>
        <w:spacing w:after="160" w:before="0" w:line="320"/>
        <w:jc w:val="both"/>
      </w:pPr>
      <w:r>
        <w:rPr>
          <w:rFonts w:ascii="Cambria" w:cs="Cambria" w:eastAsia="Cambria" w:hAnsi="Cambria"/>
          <w:color w:val="000000"/>
          <w:sz w:val="22"/>
          <w:szCs w:val="22"/>
        </w:rPr>
        <w:t xml:space="preserve">Bu nedenle Türkiye’de yerleşik hayat kuran, ikamet izni bulunan veya uzun süre kalmayı planlayan yabancılar bakımından ehliyet tebdil işlemi büyük önem taşımaktadır.</w:t>
      </w:r>
    </w:p>
    <w:p>
      <w:pPr>
        <w:pStyle w:val="Heading1"/>
        <w:keepNext/>
        <w:spacing w:after="200" w:before="360" w:line="320"/>
      </w:pPr>
      <w:r>
        <w:rPr>
          <w:rFonts w:ascii="Cambria" w:cs="Cambria" w:eastAsia="Cambria" w:hAnsi="Cambria"/>
          <w:b/>
          <w:bCs/>
          <w:color w:val="000000"/>
          <w:sz w:val="28"/>
          <w:szCs w:val="28"/>
        </w:rPr>
        <w:t xml:space="preserve">Tebdil İşleminden Kimler Yararlanabilir?</w:t>
      </w:r>
    </w:p>
    <w:p>
      <w:pPr>
        <w:spacing w:after="160" w:before="0" w:line="320"/>
        <w:jc w:val="both"/>
      </w:pPr>
      <w:r>
        <w:rPr>
          <w:rFonts w:ascii="Cambria" w:cs="Cambria" w:eastAsia="Cambria" w:hAnsi="Cambria"/>
          <w:color w:val="000000"/>
          <w:sz w:val="22"/>
          <w:szCs w:val="22"/>
        </w:rPr>
        <w:t xml:space="preserve">Ehliyet tebdili; geçerli bir yabancı sürücü belgesine sahip olan ve belgesi Türkiye bakımından tanınan bir ülkeden düzenlenmiş kişiler için söz konusu olmaktadır. Uygulamada başvuru öncesinde yapılması gereken ilk değerlendirme, sürücü belgesinin düzenlendiği ülkenin Türkiye’nin taraf olduğu uluslararası sözleşmeler veya ikili anlaşmalar kapsamında bulunup bulunmadığının kontrol edilmesidir.</w:t>
      </w:r>
    </w:p>
    <w:p>
      <w:pPr>
        <w:spacing w:after="160" w:before="0" w:line="320"/>
        <w:jc w:val="both"/>
      </w:pPr>
      <w:r>
        <w:rPr>
          <w:rFonts w:ascii="Cambria" w:cs="Cambria" w:eastAsia="Cambria" w:hAnsi="Cambria"/>
          <w:color w:val="000000"/>
          <w:sz w:val="22"/>
          <w:szCs w:val="22"/>
        </w:rPr>
        <w:t xml:space="preserve">Tebdil işlemi bakımından üç temel kategori bulunmaktadır:</w:t>
      </w:r>
    </w:p>
    <w:p>
      <w:pPr>
        <w:pStyle w:val="ListParagraph"/>
        <w:numPr>
          <w:ilvl w:val="0"/>
          <w:numId w:val="2"/>
        </w:numPr>
        <w:spacing w:after="100" w:before="0" w:line="300"/>
      </w:pPr>
      <w:r>
        <w:rPr>
          <w:rFonts w:ascii="Cambria" w:cs="Cambria" w:eastAsia="Cambria" w:hAnsi="Cambria"/>
          <w:b/>
          <w:bCs/>
          <w:color w:val="000000"/>
          <w:sz w:val="22"/>
          <w:szCs w:val="22"/>
        </w:rPr>
        <w:t xml:space="preserve">Viyana Konvansiyonuna taraf ülkelerden alınmış belgeler: </w:t>
      </w:r>
      <w:r>
        <w:rPr>
          <w:rFonts w:ascii="Cambria" w:cs="Cambria" w:eastAsia="Cambria" w:hAnsi="Cambria"/>
          <w:color w:val="000000"/>
          <w:sz w:val="22"/>
          <w:szCs w:val="22"/>
        </w:rPr>
        <w:t xml:space="preserve">Doğrudan tebdil edilebilir; teorik veya uygulamalı sınav şartı aranmaz.</w:t>
      </w:r>
    </w:p>
    <w:p>
      <w:pPr>
        <w:pStyle w:val="ListParagraph"/>
        <w:numPr>
          <w:ilvl w:val="0"/>
          <w:numId w:val="2"/>
        </w:numPr>
        <w:spacing w:after="100" w:before="0" w:line="300"/>
      </w:pPr>
      <w:r>
        <w:rPr>
          <w:rFonts w:ascii="Cambria" w:cs="Cambria" w:eastAsia="Cambria" w:hAnsi="Cambria"/>
          <w:b/>
          <w:bCs/>
          <w:color w:val="000000"/>
          <w:sz w:val="22"/>
          <w:szCs w:val="22"/>
        </w:rPr>
        <w:t xml:space="preserve">Türkiye ile ikili anlaşma akdetmiş ülkelerden alınmış belgeler: </w:t>
      </w:r>
      <w:r>
        <w:rPr>
          <w:rFonts w:ascii="Cambria" w:cs="Cambria" w:eastAsia="Cambria" w:hAnsi="Cambria"/>
          <w:color w:val="000000"/>
          <w:sz w:val="22"/>
          <w:szCs w:val="22"/>
        </w:rPr>
        <w:t xml:space="preserve">İlgili anlaşma hükümleri çerçevesinde tebdil edilebilir.</w:t>
      </w:r>
    </w:p>
    <w:p>
      <w:pPr>
        <w:pStyle w:val="ListParagraph"/>
        <w:numPr>
          <w:ilvl w:val="0"/>
          <w:numId w:val="2"/>
        </w:numPr>
        <w:spacing w:after="100" w:before="0" w:line="300"/>
      </w:pPr>
      <w:r>
        <w:rPr>
          <w:rFonts w:ascii="Cambria" w:cs="Cambria" w:eastAsia="Cambria" w:hAnsi="Cambria"/>
          <w:b/>
          <w:bCs/>
          <w:color w:val="000000"/>
          <w:sz w:val="22"/>
          <w:szCs w:val="22"/>
        </w:rPr>
        <w:t xml:space="preserve">Konvansiyona taraf olmayan ve ikili anlaşması bulunmayan ülkelerden alınmış belgeler: </w:t>
      </w:r>
      <w:r>
        <w:rPr>
          <w:rFonts w:ascii="Cambria" w:cs="Cambria" w:eastAsia="Cambria" w:hAnsi="Cambria"/>
          <w:color w:val="000000"/>
          <w:sz w:val="22"/>
          <w:szCs w:val="22"/>
        </w:rPr>
        <w:t xml:space="preserve">Tebdil edilemez; ilgili kişinin Türk mevzuatına göre baştan sürücü belgesi alması gerekir.</w:t>
      </w:r>
    </w:p>
    <w:p>
      <w:pPr>
        <w:spacing w:after="160" w:before="0" w:line="320"/>
        <w:jc w:val="both"/>
      </w:pPr>
      <w:r>
        <w:rPr>
          <w:rFonts w:ascii="Cambria" w:cs="Cambria" w:eastAsia="Cambria" w:hAnsi="Cambria"/>
          <w:color w:val="000000"/>
          <w:sz w:val="22"/>
          <w:szCs w:val="22"/>
        </w:rPr>
        <w:t xml:space="preserve">Bu kategorize edilebilme durumu, başvurunun en başında titizlikle incelenmelidir. Aksi takdirde başvuru sahibinin, ehliyetini Türkiye’de doğrudan değiştirebileceği beklentisiyle hareket etmesi, sonuçsuz bir başvuru ve önemli bir zaman kaybı doğurabilir.</w:t>
      </w:r>
    </w:p>
    <w:p>
      <w:pPr>
        <w:pStyle w:val="Heading1"/>
        <w:keepNext/>
        <w:spacing w:after="200" w:before="360" w:line="320"/>
      </w:pPr>
      <w:r>
        <w:rPr>
          <w:rFonts w:ascii="Cambria" w:cs="Cambria" w:eastAsia="Cambria" w:hAnsi="Cambria"/>
          <w:b/>
          <w:bCs/>
          <w:color w:val="000000"/>
          <w:sz w:val="28"/>
          <w:szCs w:val="28"/>
        </w:rPr>
        <w:t xml:space="preserve">Tebdil Başvurusu Kabul Edilen Ülkeler</w:t>
      </w:r>
    </w:p>
    <w:p>
      <w:pPr>
        <w:spacing w:after="160" w:before="0" w:line="320"/>
        <w:jc w:val="both"/>
      </w:pPr>
      <w:r>
        <w:rPr>
          <w:rFonts w:ascii="Cambria" w:cs="Cambria" w:eastAsia="Cambria" w:hAnsi="Cambria"/>
          <w:color w:val="000000"/>
          <w:sz w:val="22"/>
          <w:szCs w:val="22"/>
        </w:rPr>
        <w:t xml:space="preserve">Aşağıda; vatandaşları bakımından yabancı sürücü belgesinin Türk sürücü belgesi ile değiştirilmesi (tebdil) mümkün olan ülkelerin listesi sunulmaktadır. Liste üç ana kategoride düzenlenmiştir: 1968 tarihli Karayolu Trafiği Konvansiyonuna taraf ülkeler, Türkiye Cumhuriyeti ile sürücü belgelerinin karşılıklı tanınmasına ilişkin yürürlükte ikili anlaşma akdetmiş ülkeler ve bunlara ek olarak uygulamada tebdil başvurusu kabul edilen diğer ülkeler. Listeler bilgilendirme amaçlı olup, taraflık, anlaşma ve uygulama statüleri zaman içinde güncellenebilmektedir; başvuru öncesinde Nüfus ve Vatandaşlık İşleri Genel Müdürlüğünün resmi internet sayfasından (www.nvi.gov.tr) güncel duruma teyit edilmesi tavsiye olunur.</w:t>
      </w:r>
    </w:p>
    <w:p>
      <w:pPr>
        <w:pStyle w:val="Heading2"/>
        <w:keepNext/>
        <w:spacing w:after="160" w:before="280" w:line="300"/>
      </w:pPr>
      <w:r>
        <w:rPr>
          <w:rFonts w:ascii="Cambria" w:cs="Cambria" w:eastAsia="Cambria" w:hAnsi="Cambria"/>
          <w:b/>
          <w:bCs/>
          <w:color w:val="000000"/>
          <w:sz w:val="24"/>
          <w:szCs w:val="24"/>
        </w:rPr>
        <w:t xml:space="preserve">1968 Karayolu Trafiği Konvansiyonuna Taraf Ülkeler</w:t>
      </w:r>
    </w:p>
    <w:p>
      <w:pPr>
        <w:spacing w:after="160" w:before="0" w:line="320"/>
        <w:jc w:val="both"/>
      </w:pPr>
      <w:r>
        <w:rPr>
          <w:rFonts w:ascii="Cambria" w:cs="Cambria" w:eastAsia="Cambria" w:hAnsi="Cambria"/>
          <w:color w:val="000000"/>
          <w:sz w:val="22"/>
          <w:szCs w:val="22"/>
        </w:rPr>
        <w:t xml:space="preserve">Aşağıdaki ülkelerden alınmış geçerli sürücü belgeleri, kural olarak teorik veya uygulamalı sınav şartı aranmaksızın Türk sürücü belgesi ile değiştirilebilmektedir: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Almanya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Arnavutluk</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Avusturya</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Azerbaycan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Bahamalar</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Bahreyn</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Belçika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Beyaz Rusya (Belarus)</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Birleşik Arap Emirlikleri</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Bosna-Hersek</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Brezilya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Bulgaristan</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Çek Cumhuriyeti</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Danimarka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Demokratik Kongo Cumhuriyeti</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Ekvator</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Endonezya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Ermenistan</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Estonya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Fas</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Fildişi Sahili</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Filipinler</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Finlandiya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Fransa</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Gana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Guyana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Güney Afrika Cumhuriyeti</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Güney Kore</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Gürcistan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Hırvatistan</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Hollanda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İngiltere (Birleşik Krallık)</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İran İslam Cumhuriyeti</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İspanya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İsrail</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İsveç</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İsviçre</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İtalya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Karadağ</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Katar</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Kazakistan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Kenya</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Kırgızistan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Kostarika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Kuveyt</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Küba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Kuzey Makedonya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Letonya</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Liberya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Litvanya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Lüksemburg</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Macaristan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Meksika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Moğolistan</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Moldova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Monako</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Nijer</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Norveç</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Orta Afrika Cumhuriyeti</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Özbekistan</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Pakistan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Peru</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Polonya</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Portekiz</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Romanya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Rusya Federasyonu</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San Marino</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Senegal</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Seyşeller</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Sırbistan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Slovakya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Slovenya</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Şili</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Tacikistan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Tayland</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Tunus</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Türkmenistan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Ukrayna</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Uruguay</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Vatikan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Venezuela</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Vietnam</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Yunanistan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Zimbabve</w:t>
            </w:r>
          </w:p>
        </w:tc>
      </w:tr>
    </w:tbl>
    <w:p>
      <w:pPr>
        <w:spacing w:after="0" w:before="0"/>
      </w:pPr>
      <w:r>
        <w:rPr>
          <w:rFonts w:ascii="Cambria" w:cs="Cambria" w:eastAsia="Cambria" w:hAnsi="Cambria"/>
          <w:sz w:val="22"/>
          <w:szCs w:val="22"/>
        </w:rPr>
        <w:t xml:space="preserve"/>
      </w:r>
    </w:p>
    <w:p>
      <w:pPr>
        <w:spacing w:after="160" w:before="0" w:line="320"/>
        <w:jc w:val="both"/>
      </w:pPr>
      <w:r>
        <w:rPr>
          <w:rFonts w:ascii="Cambria" w:cs="Cambria" w:eastAsia="Cambria" w:hAnsi="Cambria"/>
          <w:b/>
          <w:bCs/>
          <w:i w:val="false"/>
          <w:iCs w:val="false"/>
          <w:color w:val="000000"/>
          <w:sz w:val="22"/>
          <w:szCs w:val="22"/>
        </w:rPr>
        <w:t xml:space="preserve">Not: </w:t>
      </w:r>
      <w:r>
        <w:rPr>
          <w:rFonts w:ascii="Cambria" w:cs="Cambria" w:eastAsia="Cambria" w:hAnsi="Cambria"/>
          <w:b w:val="false"/>
          <w:bCs w:val="false"/>
          <w:i w:val="false"/>
          <w:iCs w:val="false"/>
          <w:color w:val="000000"/>
          <w:sz w:val="22"/>
          <w:szCs w:val="22"/>
        </w:rPr>
        <w:t xml:space="preserve">Yukarıdaki liste, NVİGM ve Dışişleri Bakanlığı tarafından açıklanan güncel verilere göre derlenmiştir. Türkiye, Birleşmiş Milletler depoziterliğinde yürütülen bu konvansiyona taraf bulunan ülkelerin sürücü belgelerini tanımaktadır. Yeni katılımlar veya çekilmeler nedeniyle liste değişebilir.</w:t>
      </w:r>
    </w:p>
    <w:p>
      <w:pPr>
        <w:pStyle w:val="Heading2"/>
        <w:keepNext/>
        <w:spacing w:after="160" w:before="280" w:line="300"/>
      </w:pPr>
      <w:r>
        <w:rPr>
          <w:rFonts w:ascii="Cambria" w:cs="Cambria" w:eastAsia="Cambria" w:hAnsi="Cambria"/>
          <w:b/>
          <w:bCs/>
          <w:color w:val="000000"/>
          <w:sz w:val="24"/>
          <w:szCs w:val="24"/>
        </w:rPr>
        <w:t xml:space="preserve">Sürücü Belgelerinin Karşılıklı Tanınmasına İlişkin İkili Anlaşma Akdedilmiş Ülkeler</w:t>
      </w:r>
    </w:p>
    <w:p>
      <w:pPr>
        <w:spacing w:after="160" w:before="0" w:line="320"/>
        <w:jc w:val="both"/>
      </w:pPr>
      <w:r>
        <w:rPr>
          <w:rFonts w:ascii="Cambria" w:cs="Cambria" w:eastAsia="Cambria" w:hAnsi="Cambria"/>
          <w:color w:val="000000"/>
          <w:sz w:val="22"/>
          <w:szCs w:val="22"/>
        </w:rPr>
        <w:t xml:space="preserve">Türkiye Cumhuriyetinin yürürlükteki ikili anlaşmaları kapsamında; aşağıdaki ülkelerden alınan ulusal sürücü belgeleri, ilgili anlaşma hükümleri çerçevesinde Türk sürücü belgesi ile değiştirilebilmektedir: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İspanya Krallığı</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Kuzey Kıbrıs Türk Cumhuriyeti</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Tunus Cumhuriyeti</w:t>
            </w:r>
          </w:p>
        </w:tc>
      </w:tr>
    </w:tbl>
    <w:p>
      <w:pPr>
        <w:spacing w:after="0" w:before="0"/>
      </w:pPr>
      <w:r>
        <w:rPr>
          <w:rFonts w:ascii="Cambria" w:cs="Cambria" w:eastAsia="Cambria" w:hAnsi="Cambria"/>
          <w:sz w:val="22"/>
          <w:szCs w:val="22"/>
        </w:rPr>
        <w:t xml:space="preserve"/>
      </w:r>
    </w:p>
    <w:p>
      <w:pPr>
        <w:spacing w:after="160" w:before="0" w:line="320"/>
        <w:jc w:val="both"/>
      </w:pPr>
      <w:r>
        <w:rPr>
          <w:rFonts w:ascii="Cambria" w:cs="Cambria" w:eastAsia="Cambria" w:hAnsi="Cambria"/>
          <w:color w:val="000000"/>
          <w:sz w:val="22"/>
          <w:szCs w:val="22"/>
        </w:rPr>
        <w:t xml:space="preserve">Söz konusu ikili anlaşmaların tam metinlerine Nüfus ve Vatandaşlık İşleri Genel Müdürlüğünün “Sürücü Belgelerinin Karşılıklı Olarak Tanınması” başlıklı resmi sayfasından erişilebilmektedir. İspanya, aynı zamanda 1968 Viyana Konvansiyonuna da taraftır; bu nedenle İspanya vatandaşları bakımından her iki dayanak da geçerlidir.</w:t>
      </w:r>
    </w:p>
    <w:p>
      <w:pPr>
        <w:pStyle w:val="Heading2"/>
        <w:keepNext/>
        <w:spacing w:after="160" w:before="280" w:line="300"/>
      </w:pPr>
      <w:r>
        <w:rPr>
          <w:rFonts w:ascii="Cambria" w:cs="Cambria" w:eastAsia="Cambria" w:hAnsi="Cambria"/>
          <w:b/>
          <w:bCs/>
          <w:color w:val="000000"/>
          <w:sz w:val="24"/>
          <w:szCs w:val="24"/>
        </w:rPr>
        <w:t xml:space="preserve">Tebdil Başvurusu Kabul Edilen Diğer Ülkeler</w:t>
      </w:r>
    </w:p>
    <w:p>
      <w:pPr>
        <w:spacing w:after="160" w:before="0" w:line="320"/>
        <w:jc w:val="both"/>
      </w:pPr>
      <w:r>
        <w:rPr>
          <w:rFonts w:ascii="Cambria" w:cs="Cambria" w:eastAsia="Cambria" w:hAnsi="Cambria"/>
          <w:color w:val="000000"/>
          <w:sz w:val="22"/>
          <w:szCs w:val="22"/>
        </w:rPr>
        <w:t xml:space="preserve">Yukarıda yer alan iki ana kategoriye ek olarak; uluslararası sözleşmelere sonradan katılım, idari uygulamalar veya karşılıklılık esasının fiilen tanınması nedeniyle aşağıdaki ülkelerden alınmış sürücü belgeleri bakımından da tebdil başvurusu kabul edilmektedir: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Andorra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Benin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Cabo Verde</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El Salvador</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Filistin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Honduras</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Irak</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Lihtenştayn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Maldivler</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Mısır</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Myanmar</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Nijerya</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Suudi Arabistan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Uganda</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line="280"/>
            </w:pPr>
            <w:r>
              <w:rPr>
                <w:rFonts w:ascii="Cambria" w:cs="Cambria" w:eastAsia="Cambria" w:hAnsi="Cambria"/>
                <w:color w:val="000000"/>
                <w:sz w:val="20"/>
                <w:szCs w:val="20"/>
              </w:rPr>
              <w:t xml:space="preserve"/>
            </w:r>
          </w:p>
        </w:tc>
      </w:tr>
    </w:tbl>
    <w:p>
      <w:pPr>
        <w:spacing w:after="0" w:before="0"/>
      </w:pPr>
      <w:r>
        <w:rPr>
          <w:rFonts w:ascii="Cambria" w:cs="Cambria" w:eastAsia="Cambria" w:hAnsi="Cambria"/>
          <w:sz w:val="22"/>
          <w:szCs w:val="22"/>
        </w:rPr>
        <w:t xml:space="preserve"/>
      </w:r>
    </w:p>
    <w:p>
      <w:pPr>
        <w:spacing w:after="160" w:before="0" w:line="320"/>
        <w:jc w:val="both"/>
      </w:pPr>
      <w:r>
        <w:rPr>
          <w:rFonts w:ascii="Cambria" w:cs="Cambria" w:eastAsia="Cambria" w:hAnsi="Cambria"/>
          <w:b/>
          <w:bCs/>
          <w:i w:val="false"/>
          <w:iCs w:val="false"/>
          <w:color w:val="000000"/>
          <w:sz w:val="22"/>
          <w:szCs w:val="22"/>
        </w:rPr>
        <w:t xml:space="preserve">Önemli uyarı: </w:t>
      </w:r>
      <w:r>
        <w:rPr>
          <w:rFonts w:ascii="Cambria" w:cs="Cambria" w:eastAsia="Cambria" w:hAnsi="Cambria"/>
          <w:b w:val="false"/>
          <w:bCs w:val="false"/>
          <w:i w:val="false"/>
          <w:iCs w:val="false"/>
          <w:color w:val="000000"/>
          <w:sz w:val="22"/>
          <w:szCs w:val="22"/>
        </w:rPr>
        <w:t xml:space="preserve">Bu kategorideki ülkeler bakımından uygulamada zaman zaman ilgili nüfus müdürlüğünün takdiri, belge doğrulama süreçleri ve güncel iç yazışmalar belirleyici olabilmektedir. Bu nedenle başvuru öncesinde dosyanın hukuki açıdan ön incelemeden geçirilmesi ve NVİGM’den güncel statünün teyit edilmesi büyük önem taşımaktadır.</w:t>
      </w:r>
    </w:p>
    <w:p>
      <w:pPr>
        <w:pStyle w:val="Heading2"/>
        <w:keepNext/>
        <w:spacing w:after="160" w:before="280" w:line="300"/>
      </w:pPr>
      <w:r>
        <w:rPr>
          <w:rFonts w:ascii="Cambria" w:cs="Cambria" w:eastAsia="Cambria" w:hAnsi="Cambria"/>
          <w:b/>
          <w:bCs/>
          <w:color w:val="000000"/>
          <w:sz w:val="24"/>
          <w:szCs w:val="24"/>
        </w:rPr>
        <w:t xml:space="preserve">Tebdil Edilemeyen Sürücü Belgeleri</w:t>
      </w:r>
    </w:p>
    <w:p>
      <w:pPr>
        <w:spacing w:after="160" w:before="0" w:line="320"/>
        <w:jc w:val="both"/>
      </w:pPr>
      <w:r>
        <w:rPr>
          <w:rFonts w:ascii="Cambria" w:cs="Cambria" w:eastAsia="Cambria" w:hAnsi="Cambria"/>
          <w:color w:val="000000"/>
          <w:sz w:val="22"/>
          <w:szCs w:val="22"/>
        </w:rPr>
        <w:t xml:space="preserve">Yukarıda yer alan üç kategorinin dışındaki ülkelerden alınan sürücü belgeleri, kural olarak Türk sürücü belgesi ile değiştirilemez. Bu ülkelerin vatandaşları, Türkiye’de araç kullanabilmek için Türk mevzuatına göre yeniden sürücü belgesi alma sürecine tabidirler; yani sürücü kursuna kayıt olarak Milli Eğitim Bakanlığı tarafından düzenlenen teorik ve uygulamalı sınavlara girmeleri gerekmektedir.</w:t>
      </w:r>
    </w:p>
    <w:p>
      <w:pPr>
        <w:spacing w:after="160" w:before="0" w:line="320"/>
        <w:jc w:val="both"/>
      </w:pPr>
      <w:r>
        <w:rPr>
          <w:rFonts w:ascii="Cambria" w:cs="Cambria" w:eastAsia="Cambria" w:hAnsi="Cambria"/>
          <w:color w:val="000000"/>
          <w:sz w:val="22"/>
          <w:szCs w:val="22"/>
        </w:rPr>
        <w:t xml:space="preserve">Geçici nitelikte düzenlenmiş yabancı sürücü belgeleri ile diplomatik muafiyet kapsamındaki belgeler bakımından da özel hükümler uygulanmakta olup; bu durumlarda dosyanın hukuki değerlendirmesi ayrıca yapılmalıdır.</w:t>
      </w:r>
    </w:p>
    <w:p>
      <w:pPr>
        <w:pStyle w:val="Heading1"/>
        <w:keepNext/>
        <w:spacing w:after="200" w:before="360" w:line="320"/>
      </w:pPr>
      <w:r>
        <w:rPr>
          <w:rFonts w:ascii="Cambria" w:cs="Cambria" w:eastAsia="Cambria" w:hAnsi="Cambria"/>
          <w:b/>
          <w:bCs/>
          <w:color w:val="000000"/>
          <w:sz w:val="28"/>
          <w:szCs w:val="28"/>
        </w:rPr>
        <w:t xml:space="preserve">Başvuru İçin Gerekli Belgeler</w:t>
      </w:r>
    </w:p>
    <w:p>
      <w:pPr>
        <w:spacing w:after="160" w:before="0" w:line="320"/>
        <w:jc w:val="both"/>
      </w:pPr>
      <w:r>
        <w:rPr>
          <w:rFonts w:ascii="Cambria" w:cs="Cambria" w:eastAsia="Cambria" w:hAnsi="Cambria"/>
          <w:color w:val="000000"/>
          <w:sz w:val="22"/>
          <w:szCs w:val="22"/>
        </w:rPr>
        <w:t xml:space="preserve">Nüfus ve Vatandaşlık İşleri Genel Müdürlüğünün yürürlükteki Uygulama Talimatı uyarınca, dış ülkelerden alınan sürücü belgelerinin Türk sürücü belgesi ile değiştirilmesi başvurusunda aşağıdaki belgelerin ibrazı veya elektronik ortamdan teyidi gerekmektedir:</w:t>
      </w:r>
    </w:p>
    <w:p>
      <w:pPr>
        <w:pStyle w:val="ListParagraph"/>
        <w:numPr>
          <w:ilvl w:val="0"/>
          <w:numId w:val="3"/>
        </w:numPr>
        <w:spacing w:after="100" w:before="0" w:line="300"/>
      </w:pPr>
      <w:r>
        <w:rPr>
          <w:rFonts w:ascii="Cambria" w:cs="Cambria" w:eastAsia="Cambria" w:hAnsi="Cambria"/>
          <w:color w:val="000000"/>
          <w:sz w:val="22"/>
          <w:szCs w:val="22"/>
        </w:rPr>
        <w:t xml:space="preserve">Yabancı sürücü belgesinin aslı ve renkli fotokopisi.</w:t>
      </w:r>
    </w:p>
    <w:p>
      <w:pPr>
        <w:pStyle w:val="ListParagraph"/>
        <w:numPr>
          <w:ilvl w:val="0"/>
          <w:numId w:val="3"/>
        </w:numPr>
        <w:spacing w:after="100" w:before="0" w:line="300"/>
      </w:pPr>
      <w:r>
        <w:rPr>
          <w:rFonts w:ascii="Cambria" w:cs="Cambria" w:eastAsia="Cambria" w:hAnsi="Cambria"/>
          <w:color w:val="000000"/>
          <w:sz w:val="22"/>
          <w:szCs w:val="22"/>
        </w:rPr>
        <w:t xml:space="preserve">Yabancı sürücü belgesinin noter veya konsolosluk onaylı Türkçe tercümesi.</w:t>
      </w:r>
    </w:p>
    <w:p>
      <w:pPr>
        <w:pStyle w:val="ListParagraph"/>
        <w:numPr>
          <w:ilvl w:val="0"/>
          <w:numId w:val="3"/>
        </w:numPr>
        <w:spacing w:after="100" w:before="0" w:line="300"/>
      </w:pPr>
      <w:r>
        <w:rPr>
          <w:rFonts w:ascii="Cambria" w:cs="Cambria" w:eastAsia="Cambria" w:hAnsi="Cambria"/>
          <w:color w:val="000000"/>
          <w:sz w:val="22"/>
          <w:szCs w:val="22"/>
        </w:rPr>
        <w:t xml:space="preserve">Kimlik belgesi (geçerli pasaport ve/veya Türkiye Cumhuriyeti tarafından verilmiş ikamet izni kartı).</w:t>
      </w:r>
    </w:p>
    <w:p>
      <w:pPr>
        <w:pStyle w:val="ListParagraph"/>
        <w:numPr>
          <w:ilvl w:val="0"/>
          <w:numId w:val="3"/>
        </w:numPr>
        <w:spacing w:after="100" w:before="0" w:line="300"/>
      </w:pPr>
      <w:r>
        <w:rPr>
          <w:rFonts w:ascii="Cambria" w:cs="Cambria" w:eastAsia="Cambria" w:hAnsi="Cambria"/>
          <w:color w:val="000000"/>
          <w:sz w:val="22"/>
          <w:szCs w:val="22"/>
        </w:rPr>
        <w:t xml:space="preserve">Sürücü sağlık raporu (kişinin sürücü belgesi almaya elverişli olduğunu gösterir; özel ya da kamu hastanelerinden randevusuz olarak temin edilebilir).</w:t>
      </w:r>
    </w:p>
    <w:p>
      <w:pPr>
        <w:pStyle w:val="ListParagraph"/>
        <w:numPr>
          <w:ilvl w:val="0"/>
          <w:numId w:val="3"/>
        </w:numPr>
        <w:spacing w:after="100" w:before="0" w:line="300"/>
      </w:pPr>
      <w:r>
        <w:rPr>
          <w:rFonts w:ascii="Cambria" w:cs="Cambria" w:eastAsia="Cambria" w:hAnsi="Cambria"/>
          <w:color w:val="000000"/>
          <w:sz w:val="22"/>
          <w:szCs w:val="22"/>
        </w:rPr>
        <w:t xml:space="preserve">Öğrenim belgesi (yurt dışından alınmış ise noter tasdikli Türkçe tercümesi ile birlikte).</w:t>
      </w:r>
    </w:p>
    <w:p>
      <w:pPr>
        <w:pStyle w:val="ListParagraph"/>
        <w:numPr>
          <w:ilvl w:val="0"/>
          <w:numId w:val="3"/>
        </w:numPr>
        <w:spacing w:after="100" w:before="0" w:line="300"/>
      </w:pPr>
      <w:r>
        <w:rPr>
          <w:rFonts w:ascii="Cambria" w:cs="Cambria" w:eastAsia="Cambria" w:hAnsi="Cambria"/>
          <w:color w:val="000000"/>
          <w:sz w:val="22"/>
          <w:szCs w:val="22"/>
        </w:rPr>
        <w:t xml:space="preserve">Adli sicil kaydı belgesi.</w:t>
      </w:r>
    </w:p>
    <w:p>
      <w:pPr>
        <w:pStyle w:val="ListParagraph"/>
        <w:numPr>
          <w:ilvl w:val="0"/>
          <w:numId w:val="3"/>
        </w:numPr>
        <w:spacing w:after="100" w:before="0" w:line="300"/>
      </w:pPr>
      <w:r>
        <w:rPr>
          <w:rFonts w:ascii="Cambria" w:cs="Cambria" w:eastAsia="Cambria" w:hAnsi="Cambria"/>
          <w:color w:val="000000"/>
          <w:sz w:val="22"/>
          <w:szCs w:val="22"/>
        </w:rPr>
        <w:t xml:space="preserve">Sürücü belgesi değerli kâğıt bedeli, harç bedeli ve vakıf payının ödendiğine ilişkin bilgi (ödeme bilgileri sistem üzerinden görüntülenebildiğinden başvuruda ayrıca dekont talep edilmemektedir).</w:t>
      </w:r>
    </w:p>
    <w:p>
      <w:pPr>
        <w:pStyle w:val="ListParagraph"/>
        <w:numPr>
          <w:ilvl w:val="0"/>
          <w:numId w:val="3"/>
        </w:numPr>
        <w:spacing w:after="100" w:before="0" w:line="300"/>
      </w:pPr>
      <w:r>
        <w:rPr>
          <w:rFonts w:ascii="Cambria" w:cs="Cambria" w:eastAsia="Cambria" w:hAnsi="Cambria"/>
          <w:color w:val="000000"/>
          <w:sz w:val="22"/>
          <w:szCs w:val="22"/>
        </w:rPr>
        <w:t xml:space="preserve">Bir adet biyometrik fotoğraf (son altı ay içinde çekilmiş, ICAO standartlarına uygun).</w:t>
      </w:r>
    </w:p>
    <w:p>
      <w:pPr>
        <w:pStyle w:val="ListParagraph"/>
        <w:numPr>
          <w:ilvl w:val="0"/>
          <w:numId w:val="3"/>
        </w:numPr>
        <w:spacing w:after="100" w:before="0" w:line="300"/>
      </w:pPr>
      <w:r>
        <w:rPr>
          <w:rFonts w:ascii="Cambria" w:cs="Cambria" w:eastAsia="Cambria" w:hAnsi="Cambria"/>
          <w:color w:val="000000"/>
          <w:sz w:val="22"/>
          <w:szCs w:val="22"/>
        </w:rPr>
        <w:t xml:space="preserve">Kan grubunu belirtir belge ya da sözlü/yazılı beyan.</w:t>
      </w:r>
    </w:p>
    <w:p>
      <w:pPr>
        <w:spacing w:after="0" w:before="0"/>
      </w:pPr>
      <w:r>
        <w:rPr>
          <w:rFonts w:ascii="Cambria" w:cs="Cambria" w:eastAsia="Cambria" w:hAnsi="Cambria"/>
          <w:sz w:val="22"/>
          <w:szCs w:val="22"/>
        </w:rPr>
        <w:t xml:space="preserve"/>
      </w:r>
    </w:p>
    <w:p>
      <w:pPr>
        <w:spacing w:after="160" w:before="0" w:line="320"/>
        <w:jc w:val="both"/>
      </w:pPr>
      <w:r>
        <w:rPr>
          <w:rFonts w:ascii="Cambria" w:cs="Cambria" w:eastAsia="Cambria" w:hAnsi="Cambria"/>
          <w:b/>
          <w:bCs/>
          <w:i w:val="false"/>
          <w:iCs w:val="false"/>
          <w:color w:val="000000"/>
          <w:sz w:val="22"/>
          <w:szCs w:val="22"/>
        </w:rPr>
        <w:t xml:space="preserve">Önemli not: </w:t>
      </w:r>
      <w:r>
        <w:rPr>
          <w:rFonts w:ascii="Cambria" w:cs="Cambria" w:eastAsia="Cambria" w:hAnsi="Cambria"/>
          <w:b w:val="false"/>
          <w:bCs w:val="false"/>
          <w:i w:val="false"/>
          <w:iCs w:val="false"/>
          <w:color w:val="000000"/>
          <w:sz w:val="22"/>
          <w:szCs w:val="22"/>
        </w:rPr>
        <w:t xml:space="preserve">Yabancı ülkede düzenlenen sürücü belgesinin Türkçe tercümesinin noter veya konsolosluk onaylı olması zorunludur. Belgenin içeriği okunaklı değilse, sınıf bilgileri açık biçimde anlaşılmıyorsa veya belge üzerinde tereddüt doğuran hususlar bulunuyorsa nüfus müdürlüğü ilgili ülkeden teyit talep edebilmekte ve bu durum başvurunun aylarca uzamasına neden olabilmektedir. Bu nedenle dosyanın başvuru öncesinde uzman bir avukat tarafından incelenmesi büyük pratik fayda sağlamaktadır.</w:t>
      </w:r>
    </w:p>
    <w:p>
      <w:pPr>
        <w:pStyle w:val="Heading1"/>
        <w:keepNext/>
        <w:spacing w:after="200" w:before="360" w:line="320"/>
      </w:pPr>
      <w:r>
        <w:rPr>
          <w:rFonts w:ascii="Cambria" w:cs="Cambria" w:eastAsia="Cambria" w:hAnsi="Cambria"/>
          <w:b/>
          <w:bCs/>
          <w:color w:val="000000"/>
          <w:sz w:val="28"/>
          <w:szCs w:val="28"/>
        </w:rPr>
        <w:t xml:space="preserve">Başvuru Süreci ve Randevu Sistemi</w:t>
      </w:r>
    </w:p>
    <w:p>
      <w:pPr>
        <w:spacing w:after="160" w:before="0" w:line="320"/>
        <w:jc w:val="both"/>
      </w:pPr>
      <w:r>
        <w:rPr>
          <w:rFonts w:ascii="Cambria" w:cs="Cambria" w:eastAsia="Cambria" w:hAnsi="Cambria"/>
          <w:color w:val="000000"/>
          <w:sz w:val="22"/>
          <w:szCs w:val="22"/>
        </w:rPr>
        <w:t xml:space="preserve">Yabancı sürücü belgesinin tebdiline ilişkin başvurular, yalnızca randevu alınarak ve şahsen yapılmaktadır. Randevu işlemi aşağıdaki kanallardan gerçekleştirilebilir:</w:t>
      </w:r>
    </w:p>
    <w:p>
      <w:pPr>
        <w:pStyle w:val="ListParagraph"/>
        <w:numPr>
          <w:ilvl w:val="0"/>
          <w:numId w:val="2"/>
        </w:numPr>
        <w:spacing w:after="100" w:before="0" w:line="300"/>
      </w:pPr>
      <w:r>
        <w:rPr>
          <w:rFonts w:ascii="Cambria" w:cs="Cambria" w:eastAsia="Cambria" w:hAnsi="Cambria"/>
          <w:b/>
          <w:bCs/>
          <w:color w:val="000000"/>
          <w:sz w:val="22"/>
          <w:szCs w:val="22"/>
        </w:rPr>
        <w:t xml:space="preserve">İnternet üzerinden: </w:t>
      </w:r>
      <w:r>
        <w:rPr>
          <w:rFonts w:ascii="Cambria" w:cs="Cambria" w:eastAsia="Cambria" w:hAnsi="Cambria"/>
          <w:color w:val="000000"/>
          <w:sz w:val="22"/>
          <w:szCs w:val="22"/>
        </w:rPr>
        <w:t xml:space="preserve">https://randevu.nvi.gov.tr adresinden “Sürücü Belgesi – Yabancı Sürücü Belgesi Değiştirme (Tebdil)” kategorisi seçilerek.</w:t>
      </w:r>
    </w:p>
    <w:p>
      <w:pPr>
        <w:pStyle w:val="ListParagraph"/>
        <w:numPr>
          <w:ilvl w:val="0"/>
          <w:numId w:val="2"/>
        </w:numPr>
        <w:spacing w:after="100" w:before="0" w:line="300"/>
      </w:pPr>
      <w:r>
        <w:rPr>
          <w:rFonts w:ascii="Cambria" w:cs="Cambria" w:eastAsia="Cambria" w:hAnsi="Cambria"/>
          <w:b/>
          <w:bCs/>
          <w:color w:val="000000"/>
          <w:sz w:val="22"/>
          <w:szCs w:val="22"/>
        </w:rPr>
        <w:t xml:space="preserve">Telefon ile: </w:t>
      </w:r>
      <w:r>
        <w:rPr>
          <w:rFonts w:ascii="Cambria" w:cs="Cambria" w:eastAsia="Cambria" w:hAnsi="Cambria"/>
          <w:color w:val="000000"/>
          <w:sz w:val="22"/>
          <w:szCs w:val="22"/>
        </w:rPr>
        <w:t xml:space="preserve">Alo 199 çağrı merkezi aracılığıyla.</w:t>
      </w:r>
    </w:p>
    <w:p>
      <w:pPr>
        <w:pStyle w:val="ListParagraph"/>
        <w:numPr>
          <w:ilvl w:val="0"/>
          <w:numId w:val="2"/>
        </w:numPr>
        <w:spacing w:after="100" w:before="0" w:line="300"/>
      </w:pPr>
      <w:r>
        <w:rPr>
          <w:rFonts w:ascii="Cambria" w:cs="Cambria" w:eastAsia="Cambria" w:hAnsi="Cambria"/>
          <w:b/>
          <w:bCs/>
          <w:color w:val="000000"/>
          <w:sz w:val="22"/>
          <w:szCs w:val="22"/>
        </w:rPr>
        <w:t xml:space="preserve">Mobil uygulama: </w:t>
      </w:r>
      <w:r>
        <w:rPr>
          <w:rFonts w:ascii="Cambria" w:cs="Cambria" w:eastAsia="Cambria" w:hAnsi="Cambria"/>
          <w:color w:val="000000"/>
          <w:sz w:val="22"/>
          <w:szCs w:val="22"/>
        </w:rPr>
        <w:t xml:space="preserve">NVİGM tarafından sunulan “NVİ Mobil” uygulaması üzerinden.</w:t>
      </w:r>
    </w:p>
    <w:p>
      <w:pPr>
        <w:spacing w:after="0" w:before="0"/>
      </w:pPr>
      <w:r>
        <w:rPr>
          <w:rFonts w:ascii="Cambria" w:cs="Cambria" w:eastAsia="Cambria" w:hAnsi="Cambria"/>
          <w:sz w:val="22"/>
          <w:szCs w:val="22"/>
        </w:rPr>
        <w:t xml:space="preserve"/>
      </w:r>
    </w:p>
    <w:p>
      <w:pPr>
        <w:spacing w:after="160" w:before="0" w:line="320"/>
        <w:jc w:val="both"/>
      </w:pPr>
      <w:r>
        <w:rPr>
          <w:rFonts w:ascii="Cambria" w:cs="Cambria" w:eastAsia="Cambria" w:hAnsi="Cambria"/>
          <w:color w:val="000000"/>
          <w:sz w:val="22"/>
          <w:szCs w:val="22"/>
        </w:rPr>
        <w:t xml:space="preserve">Başvuru sahiplerinin randevu saatlerinden en az otuz dakika önce nüfus müdürlüğünde hazır bulunmaları beklenmekte; randevu saatini otuz dakikadan fazla geçirenlerin başvuruları yalnızca sıra yoğunluğu uygun olduğu takdirde alınmaktadır.</w:t>
      </w:r>
    </w:p>
    <w:p>
      <w:pPr>
        <w:spacing w:after="160" w:before="0" w:line="320"/>
        <w:jc w:val="both"/>
      </w:pPr>
      <w:r>
        <w:rPr>
          <w:rFonts w:ascii="Cambria" w:cs="Cambria" w:eastAsia="Cambria" w:hAnsi="Cambria"/>
          <w:color w:val="000000"/>
          <w:sz w:val="22"/>
          <w:szCs w:val="22"/>
        </w:rPr>
        <w:t xml:space="preserve">Başvuru kabul edildikten sonra; kimlik ve adres bilgileri kontrol edilmekte, sistemden başvuru formu oluşturulmakta, kişiden imza, biyometrik fotoğraf ve parmak izi alınmakta ve başvuru formunun çıktısı onaylatılarak veri tabanına kaydedilmektedir. Sürücü belgesi, basım sürecinin ardından PTT aracılığıyla başvuru sırasında bildirilen adrese ücretsiz olarak teslim edilmektedir.</w:t>
      </w:r>
    </w:p>
    <w:p>
      <w:pPr>
        <w:pStyle w:val="Heading1"/>
        <w:keepNext/>
        <w:spacing w:after="200" w:before="360" w:line="320"/>
      </w:pPr>
      <w:r>
        <w:rPr>
          <w:rFonts w:ascii="Cambria" w:cs="Cambria" w:eastAsia="Cambria" w:hAnsi="Cambria"/>
          <w:b/>
          <w:bCs/>
          <w:color w:val="000000"/>
          <w:sz w:val="28"/>
          <w:szCs w:val="28"/>
        </w:rPr>
        <w:t xml:space="preserve">Şahsen Başvuru Zorunluluğu</w:t>
      </w:r>
    </w:p>
    <w:p>
      <w:pPr>
        <w:spacing w:after="160" w:before="0" w:line="320"/>
        <w:jc w:val="both"/>
      </w:pPr>
      <w:r>
        <w:rPr>
          <w:rFonts w:ascii="Cambria" w:cs="Cambria" w:eastAsia="Cambria" w:hAnsi="Cambria"/>
          <w:b/>
          <w:bCs/>
          <w:i w:val="false"/>
          <w:iCs w:val="false"/>
          <w:color w:val="000000"/>
          <w:sz w:val="22"/>
          <w:szCs w:val="22"/>
        </w:rPr>
        <w:t xml:space="preserve">Sürücü belgesi başvuruları, vekâletname ile yapılamaz. </w:t>
      </w:r>
      <w:r>
        <w:rPr>
          <w:rFonts w:ascii="Cambria" w:cs="Cambria" w:eastAsia="Cambria" w:hAnsi="Cambria"/>
          <w:b w:val="false"/>
          <w:bCs w:val="false"/>
          <w:i w:val="false"/>
          <w:iCs w:val="false"/>
          <w:color w:val="000000"/>
          <w:sz w:val="22"/>
          <w:szCs w:val="22"/>
        </w:rPr>
        <w:t xml:space="preserve">Nüfus ve Vatandaşlık İşleri Genel Müdürlüğünün resmi açıklamalarında ve Uygulama Talimatında açıkça düzenlendiği üzere, sürücü belgesi müracaatları bizzat şahsın kendisi tarafından yapılır. Bunun temel nedeni, başvuru sırasında parmak izi, imza ve biyometrik fotoğraf alınması; ayrıca kişinin kendisinin doğrulanması zorunluluğudur.</w:t>
      </w:r>
    </w:p>
    <w:p>
      <w:pPr>
        <w:spacing w:after="160" w:before="0" w:line="320"/>
        <w:jc w:val="both"/>
      </w:pPr>
      <w:r>
        <w:rPr>
          <w:rFonts w:ascii="Cambria" w:cs="Cambria" w:eastAsia="Cambria" w:hAnsi="Cambria"/>
          <w:color w:val="000000"/>
          <w:sz w:val="22"/>
          <w:szCs w:val="22"/>
        </w:rPr>
        <w:t xml:space="preserve">Dolayısıyla, yabancının bir avukat veya başka bir temsilci aracılığıyla sürücü belgesi başvurusunu yaptırabilmesi mümkün değildir. Ancak avukatın rolü; başvuru öncesi dosya hazırlığı, tercüme süreçlerinin yönetimi, belge teyit yazışmaları, randevu organizasyonu ve gerektiğinde belgenin teslim alınması (vekâletnamede açıkça yetki verilmiş olmak şartıyla) gibi hazırlık ve sonrası aşamalarda büyük önem taşımaktadır.</w:t>
      </w:r>
    </w:p>
    <w:p>
      <w:pPr>
        <w:pStyle w:val="Heading1"/>
        <w:keepNext/>
        <w:spacing w:after="200" w:before="360" w:line="320"/>
      </w:pPr>
      <w:r>
        <w:rPr>
          <w:rFonts w:ascii="Cambria" w:cs="Cambria" w:eastAsia="Cambria" w:hAnsi="Cambria"/>
          <w:b/>
          <w:bCs/>
          <w:color w:val="000000"/>
          <w:sz w:val="28"/>
          <w:szCs w:val="28"/>
        </w:rPr>
        <w:t xml:space="preserve">Yabancılara Düzenlenen Türk Sürücü Belgesinin Özellikleri</w:t>
      </w:r>
    </w:p>
    <w:p>
      <w:pPr>
        <w:spacing w:after="160" w:before="0" w:line="320"/>
        <w:jc w:val="both"/>
      </w:pPr>
      <w:r>
        <w:rPr>
          <w:rFonts w:ascii="Cambria" w:cs="Cambria" w:eastAsia="Cambria" w:hAnsi="Cambria"/>
          <w:color w:val="000000"/>
          <w:sz w:val="22"/>
          <w:szCs w:val="22"/>
        </w:rPr>
        <w:t xml:space="preserve">NVİGM Uygulama Talimatı uyarınca, yabancılara verilen Türk sürücü belgeleri üzerine kod tablosundan “Ticari Araç Kullanamaz” kodu işlenmektedir. Bu kod; söz konusu sürücü belgesi ile ticari nitelikte araç kullanılamayacağı, yalnızca özel araç kullanımının mümkün olduğu anlamına gelmektedir.</w:t>
      </w:r>
    </w:p>
    <w:p>
      <w:pPr>
        <w:spacing w:after="160" w:before="0" w:line="320"/>
        <w:jc w:val="both"/>
      </w:pPr>
      <w:r>
        <w:rPr>
          <w:rFonts w:ascii="Cambria" w:cs="Cambria" w:eastAsia="Cambria" w:hAnsi="Cambria"/>
          <w:color w:val="000000"/>
          <w:sz w:val="22"/>
          <w:szCs w:val="22"/>
        </w:rPr>
        <w:t xml:space="preserve">Söz konusu kısıtlama, Türk vatandaşları ile 5203 sayılı Kanun kapsamında “Mavi Kart” sahibi olan kişiler bakımından uygulanmamaktadır. Türkiye’de ticari amaçla araç kullanmak isteyen yabancıların, Türk vatandaşlığını kazanmaları veya çalışma izni, ikamet statüsü ve sürücü belgesi sınıfı bakımından özel mevzuat değerlendirmesi yaptırmaları gerekmektedir.</w:t>
      </w:r>
    </w:p>
    <w:p>
      <w:pPr>
        <w:pStyle w:val="Heading1"/>
        <w:keepNext/>
        <w:spacing w:after="200" w:before="360" w:line="320"/>
      </w:pPr>
      <w:r>
        <w:rPr>
          <w:rFonts w:ascii="Cambria" w:cs="Cambria" w:eastAsia="Cambria" w:hAnsi="Cambria"/>
          <w:b/>
          <w:bCs/>
          <w:color w:val="000000"/>
          <w:sz w:val="28"/>
          <w:szCs w:val="28"/>
        </w:rPr>
        <w:t xml:space="preserve">Tebdil Edilen Yabancı Sürücü Belgesinin Akıbeti</w:t>
      </w:r>
    </w:p>
    <w:p>
      <w:pPr>
        <w:spacing w:after="160" w:before="0" w:line="320"/>
        <w:jc w:val="both"/>
      </w:pPr>
      <w:r>
        <w:rPr>
          <w:rFonts w:ascii="Cambria" w:cs="Cambria" w:eastAsia="Cambria" w:hAnsi="Cambria"/>
          <w:color w:val="000000"/>
          <w:sz w:val="22"/>
          <w:szCs w:val="22"/>
        </w:rPr>
        <w:t xml:space="preserve">Karayolları Trafik Yönetmeliğinde Değişiklik Yapılmasına Dair Yönetmeliğin 88. maddesi; “ülkemiz sürücü belgeleri ile değiştirilen dış ülkelerden alınmış sürücü belgeleri ilgili ülkeye gönderilir” hükmünü amirdir.</w:t>
      </w:r>
    </w:p>
    <w:p>
      <w:pPr>
        <w:spacing w:after="160" w:before="0" w:line="320"/>
        <w:jc w:val="both"/>
      </w:pPr>
      <w:r>
        <w:rPr>
          <w:rFonts w:ascii="Cambria" w:cs="Cambria" w:eastAsia="Cambria" w:hAnsi="Cambria"/>
          <w:color w:val="000000"/>
          <w:sz w:val="22"/>
          <w:szCs w:val="22"/>
        </w:rPr>
        <w:t xml:space="preserve">Bu kapsamda tebdil işlemi sonrasında, başvuru sahibinin teslim ettiği yabancı sürücü belgesi kendisine iade edilmemekte; ilgili ülkenin yetkili makamlarına dosyasına konulmak üzere gönderilmektedir. Bu husus, başvurudan önce dikkate alınması gereken kritik bir noktadır; çünkü tebdil işleminin tamamlanmasıyla birlikte kişi, artık menşe ülkenin sürücü belgesini taşımayacak; yalnızca Türk sürücü belgesine sahip olacaktır.</w:t>
      </w:r>
    </w:p>
    <w:p>
      <w:pPr>
        <w:pStyle w:val="Heading1"/>
        <w:keepNext/>
        <w:spacing w:after="200" w:before="360" w:line="320"/>
      </w:pPr>
      <w:r>
        <w:rPr>
          <w:rFonts w:ascii="Cambria" w:cs="Cambria" w:eastAsia="Cambria" w:hAnsi="Cambria"/>
          <w:b/>
          <w:bCs/>
          <w:color w:val="000000"/>
          <w:sz w:val="28"/>
          <w:szCs w:val="28"/>
        </w:rPr>
        <w:t xml:space="preserve">Başvuru Ücretleri</w:t>
      </w:r>
    </w:p>
    <w:p>
      <w:pPr>
        <w:spacing w:after="160" w:before="0" w:line="320"/>
        <w:jc w:val="both"/>
      </w:pPr>
      <w:r>
        <w:rPr>
          <w:rFonts w:ascii="Cambria" w:cs="Cambria" w:eastAsia="Cambria" w:hAnsi="Cambria"/>
          <w:color w:val="000000"/>
          <w:sz w:val="22"/>
          <w:szCs w:val="22"/>
        </w:rPr>
        <w:t xml:space="preserve">Sürücü belgesi başvuru ücretleri, her takvim yılı başında Hazine ve Maliye Bakanlığı tarafından yeniden değerleme oranı dikkate alınarak güncellenmektedir. Tebdil işlemi bakımından ödenmesi gereken kalemler şunlardır:</w:t>
      </w:r>
    </w:p>
    <w:p>
      <w:pPr>
        <w:pStyle w:val="ListParagraph"/>
        <w:numPr>
          <w:ilvl w:val="0"/>
          <w:numId w:val="2"/>
        </w:numPr>
        <w:spacing w:after="100" w:before="0" w:line="300"/>
      </w:pPr>
      <w:r>
        <w:rPr>
          <w:rFonts w:ascii="Cambria" w:cs="Cambria" w:eastAsia="Cambria" w:hAnsi="Cambria"/>
          <w:color w:val="000000"/>
          <w:sz w:val="22"/>
          <w:szCs w:val="22"/>
        </w:rPr>
        <w:t xml:space="preserve">Harç bedeli (sürücü belgesi sınıfına göre değişiklik gösterir).</w:t>
      </w:r>
    </w:p>
    <w:p>
      <w:pPr>
        <w:pStyle w:val="ListParagraph"/>
        <w:numPr>
          <w:ilvl w:val="0"/>
          <w:numId w:val="2"/>
        </w:numPr>
        <w:spacing w:after="100" w:before="0" w:line="300"/>
      </w:pPr>
      <w:r>
        <w:rPr>
          <w:rFonts w:ascii="Cambria" w:cs="Cambria" w:eastAsia="Cambria" w:hAnsi="Cambria"/>
          <w:color w:val="000000"/>
          <w:sz w:val="22"/>
          <w:szCs w:val="22"/>
        </w:rPr>
        <w:t xml:space="preserve">Değerli kâğıt bedeli.</w:t>
      </w:r>
    </w:p>
    <w:p>
      <w:pPr>
        <w:pStyle w:val="ListParagraph"/>
        <w:numPr>
          <w:ilvl w:val="0"/>
          <w:numId w:val="2"/>
        </w:numPr>
        <w:spacing w:after="100" w:before="0" w:line="300"/>
      </w:pPr>
      <w:r>
        <w:rPr>
          <w:rFonts w:ascii="Cambria" w:cs="Cambria" w:eastAsia="Cambria" w:hAnsi="Cambria"/>
          <w:color w:val="000000"/>
          <w:sz w:val="22"/>
          <w:szCs w:val="22"/>
        </w:rPr>
        <w:t xml:space="preserve">Vakıf hizmet bedeli (Türk Polis Teşkilatını Güçlendirme Vakfı payı).</w:t>
      </w:r>
    </w:p>
    <w:p>
      <w:pPr>
        <w:spacing w:after="0" w:before="0"/>
      </w:pPr>
      <w:r>
        <w:rPr>
          <w:rFonts w:ascii="Cambria" w:cs="Cambria" w:eastAsia="Cambria" w:hAnsi="Cambria"/>
          <w:sz w:val="22"/>
          <w:szCs w:val="22"/>
        </w:rPr>
        <w:t xml:space="preserve"/>
      </w:r>
    </w:p>
    <w:p>
      <w:pPr>
        <w:spacing w:after="160" w:before="0" w:line="320"/>
        <w:jc w:val="both"/>
      </w:pPr>
      <w:r>
        <w:rPr>
          <w:rFonts w:ascii="Cambria" w:cs="Cambria" w:eastAsia="Cambria" w:hAnsi="Cambria"/>
          <w:color w:val="000000"/>
          <w:sz w:val="22"/>
          <w:szCs w:val="22"/>
        </w:rPr>
        <w:t xml:space="preserve">Ödemeler; vergi dairesi müdürlüklerine, PTT şubelerine, anlaşmalı bankalara veya Gelir İdaresi Başkanlığının https://ivd.gib.gov.tr internet adresi üzerinden yapılabilmektedir. Sürücü belgesi sınıfına göre güncel toplam tutarın başvuru öncesinde NVİGM’nin resmi internet sayfasından kontrol edilmesi gerekmektedir.</w:t>
      </w:r>
    </w:p>
    <w:p>
      <w:pPr>
        <w:pStyle w:val="Heading1"/>
        <w:keepNext/>
        <w:spacing w:after="200" w:before="360" w:line="320"/>
      </w:pPr>
      <w:r>
        <w:rPr>
          <w:rFonts w:ascii="Cambria" w:cs="Cambria" w:eastAsia="Cambria" w:hAnsi="Cambria"/>
          <w:b/>
          <w:bCs/>
          <w:color w:val="000000"/>
          <w:sz w:val="28"/>
          <w:szCs w:val="28"/>
        </w:rPr>
        <w:t xml:space="preserve">Tebdil Sürecinde Sık Karşılaşılan Sorunlar</w:t>
      </w:r>
    </w:p>
    <w:p>
      <w:pPr>
        <w:spacing w:after="160" w:before="0" w:line="320"/>
        <w:jc w:val="both"/>
      </w:pPr>
      <w:r>
        <w:rPr>
          <w:rFonts w:ascii="Cambria" w:cs="Cambria" w:eastAsia="Cambria" w:hAnsi="Cambria"/>
          <w:color w:val="000000"/>
          <w:sz w:val="22"/>
          <w:szCs w:val="22"/>
        </w:rPr>
        <w:t xml:space="preserve">Uygulamada en sık karşılaşılan ve başvurunun reddi ya da uzun süre sürüncemede kalması ile sonuçlanan sorunların başlıcaları şunlardır:</w:t>
      </w:r>
    </w:p>
    <w:p>
      <w:pPr>
        <w:pStyle w:val="ListParagraph"/>
        <w:numPr>
          <w:ilvl w:val="0"/>
          <w:numId w:val="2"/>
        </w:numPr>
        <w:spacing w:after="100" w:before="0" w:line="300"/>
      </w:pPr>
      <w:r>
        <w:rPr>
          <w:rFonts w:ascii="Cambria" w:cs="Cambria" w:eastAsia="Cambria" w:hAnsi="Cambria"/>
          <w:b/>
          <w:bCs/>
          <w:color w:val="000000"/>
          <w:sz w:val="22"/>
          <w:szCs w:val="22"/>
        </w:rPr>
        <w:t xml:space="preserve">Tebdile uygun olmayan ülkeden alınmış belgeler: </w:t>
      </w:r>
      <w:r>
        <w:rPr>
          <w:rFonts w:ascii="Cambria" w:cs="Cambria" w:eastAsia="Cambria" w:hAnsi="Cambria"/>
          <w:color w:val="000000"/>
          <w:sz w:val="22"/>
          <w:szCs w:val="22"/>
        </w:rPr>
        <w:t xml:space="preserve">Konvansiyon veya ikili anlaşma kapsamı dışındaki ülkelerden alınan belgelerle başvuru yapılması.</w:t>
      </w:r>
    </w:p>
    <w:p>
      <w:pPr>
        <w:pStyle w:val="ListParagraph"/>
        <w:numPr>
          <w:ilvl w:val="0"/>
          <w:numId w:val="2"/>
        </w:numPr>
        <w:spacing w:after="100" w:before="0" w:line="300"/>
      </w:pPr>
      <w:r>
        <w:rPr>
          <w:rFonts w:ascii="Cambria" w:cs="Cambria" w:eastAsia="Cambria" w:hAnsi="Cambria"/>
          <w:b/>
          <w:bCs/>
          <w:color w:val="000000"/>
          <w:sz w:val="22"/>
          <w:szCs w:val="22"/>
        </w:rPr>
        <w:t xml:space="preserve">Tercüme eksiklikleri: </w:t>
      </w:r>
      <w:r>
        <w:rPr>
          <w:rFonts w:ascii="Cambria" w:cs="Cambria" w:eastAsia="Cambria" w:hAnsi="Cambria"/>
          <w:color w:val="000000"/>
          <w:sz w:val="22"/>
          <w:szCs w:val="22"/>
        </w:rPr>
        <w:t xml:space="preserve">Tercümenin yeminli tercüman, noter veya konsolosluk onayı bulunmaması; sınıf, geçerlilik tarihi gibi bilgilerin tercümede eksik veya yanlış aktarılması.</w:t>
      </w:r>
    </w:p>
    <w:p>
      <w:pPr>
        <w:pStyle w:val="ListParagraph"/>
        <w:numPr>
          <w:ilvl w:val="0"/>
          <w:numId w:val="2"/>
        </w:numPr>
        <w:spacing w:after="100" w:before="0" w:line="300"/>
      </w:pPr>
      <w:r>
        <w:rPr>
          <w:rFonts w:ascii="Cambria" w:cs="Cambria" w:eastAsia="Cambria" w:hAnsi="Cambria"/>
          <w:b/>
          <w:bCs/>
          <w:color w:val="000000"/>
          <w:sz w:val="22"/>
          <w:szCs w:val="22"/>
        </w:rPr>
        <w:t xml:space="preserve">Belge sınıflarının okunmaması: </w:t>
      </w:r>
      <w:r>
        <w:rPr>
          <w:rFonts w:ascii="Cambria" w:cs="Cambria" w:eastAsia="Cambria" w:hAnsi="Cambria"/>
          <w:color w:val="000000"/>
          <w:sz w:val="22"/>
          <w:szCs w:val="22"/>
        </w:rPr>
        <w:t xml:space="preserve">Eski tip veya yıpranmış belgelerde sınıf bilgilerinin net okunamaması nedeniyle ilgili ülkeden teyit istenmesi ve sürecin uzaması.</w:t>
      </w:r>
    </w:p>
    <w:p>
      <w:pPr>
        <w:pStyle w:val="ListParagraph"/>
        <w:numPr>
          <w:ilvl w:val="0"/>
          <w:numId w:val="2"/>
        </w:numPr>
        <w:spacing w:after="100" w:before="0" w:line="300"/>
      </w:pPr>
      <w:r>
        <w:rPr>
          <w:rFonts w:ascii="Cambria" w:cs="Cambria" w:eastAsia="Cambria" w:hAnsi="Cambria"/>
          <w:b/>
          <w:bCs/>
          <w:color w:val="000000"/>
          <w:sz w:val="22"/>
          <w:szCs w:val="22"/>
        </w:rPr>
        <w:t xml:space="preserve">Belgenin gerçekliği konusunda tereddüt: </w:t>
      </w:r>
      <w:r>
        <w:rPr>
          <w:rFonts w:ascii="Cambria" w:cs="Cambria" w:eastAsia="Cambria" w:hAnsi="Cambria"/>
          <w:color w:val="000000"/>
          <w:sz w:val="22"/>
          <w:szCs w:val="22"/>
        </w:rPr>
        <w:t xml:space="preserve">Düzenleyen ülkenin yetkili makamlarından doğrulama yazısı talep edilmesi; bu durum başvurunun aylarca uzamasına yol açabilmektedir.</w:t>
      </w:r>
    </w:p>
    <w:p>
      <w:pPr>
        <w:pStyle w:val="ListParagraph"/>
        <w:numPr>
          <w:ilvl w:val="0"/>
          <w:numId w:val="2"/>
        </w:numPr>
        <w:spacing w:after="100" w:before="0" w:line="300"/>
      </w:pPr>
      <w:r>
        <w:rPr>
          <w:rFonts w:ascii="Cambria" w:cs="Cambria" w:eastAsia="Cambria" w:hAnsi="Cambria"/>
          <w:b/>
          <w:bCs/>
          <w:color w:val="000000"/>
          <w:sz w:val="22"/>
          <w:szCs w:val="22"/>
        </w:rPr>
        <w:t xml:space="preserve">Dosya eksikliği: </w:t>
      </w:r>
      <w:r>
        <w:rPr>
          <w:rFonts w:ascii="Cambria" w:cs="Cambria" w:eastAsia="Cambria" w:hAnsi="Cambria"/>
          <w:color w:val="000000"/>
          <w:sz w:val="22"/>
          <w:szCs w:val="22"/>
        </w:rPr>
        <w:t xml:space="preserve">Sağlık raporu, adli sicil kaydı, öğrenim belgesi tercümesi gibi belgelerin eksik veya hatalı sunulması.</w:t>
      </w:r>
    </w:p>
    <w:p>
      <w:pPr>
        <w:pStyle w:val="ListParagraph"/>
        <w:numPr>
          <w:ilvl w:val="0"/>
          <w:numId w:val="2"/>
        </w:numPr>
        <w:spacing w:after="100" w:before="0" w:line="300"/>
      </w:pPr>
      <w:r>
        <w:rPr>
          <w:rFonts w:ascii="Cambria" w:cs="Cambria" w:eastAsia="Cambria" w:hAnsi="Cambria"/>
          <w:b/>
          <w:bCs/>
          <w:color w:val="000000"/>
          <w:sz w:val="22"/>
          <w:szCs w:val="22"/>
        </w:rPr>
        <w:t xml:space="preserve">Altı aylık sürenin aşılması: </w:t>
      </w:r>
      <w:r>
        <w:rPr>
          <w:rFonts w:ascii="Cambria" w:cs="Cambria" w:eastAsia="Cambria" w:hAnsi="Cambria"/>
          <w:color w:val="000000"/>
          <w:sz w:val="22"/>
          <w:szCs w:val="22"/>
        </w:rPr>
        <w:t xml:space="preserve">Süre aşıldıktan sonra araç kullanılması durumunda idari para cezası ve aracın trafikten men edilmesi gibi yaptırımlarla karşılaşılması.</w:t>
      </w:r>
    </w:p>
    <w:p>
      <w:pPr>
        <w:spacing w:after="0" w:before="0"/>
      </w:pPr>
      <w:r>
        <w:rPr>
          <w:rFonts w:ascii="Cambria" w:cs="Cambria" w:eastAsia="Cambria" w:hAnsi="Cambria"/>
          <w:sz w:val="22"/>
          <w:szCs w:val="22"/>
        </w:rPr>
        <w:t xml:space="preserve"/>
      </w:r>
    </w:p>
    <w:p>
      <w:pPr>
        <w:spacing w:after="160" w:before="0" w:line="320"/>
        <w:jc w:val="both"/>
      </w:pPr>
      <w:r>
        <w:rPr>
          <w:rFonts w:ascii="Cambria" w:cs="Cambria" w:eastAsia="Cambria" w:hAnsi="Cambria"/>
          <w:color w:val="000000"/>
          <w:sz w:val="22"/>
          <w:szCs w:val="22"/>
        </w:rPr>
        <w:t xml:space="preserve">Özellikle ehliyetin düzenlendiği ülkenin uluslararası sözleşme veya ikili anlaşma kapsamında olup olmadığı, dosyanın en başında analiz edilmelidir. Aksi hâlde başvuru sahibi, ehliyetini Türkiye’de doğrudan değiştirebileceği beklentisiyle hareket ederken, yeniden sürücü belgesi alma süreciyle karşı karşıya kalabilir. Bu hukuki ve idari ayrım, başvuru öncesinde doğru biçimde değerlendirilmelidir.</w:t>
      </w:r>
    </w:p>
    <w:p>
      <w:pPr>
        <w:pStyle w:val="Heading1"/>
        <w:keepNext/>
        <w:spacing w:after="200" w:before="360" w:line="320"/>
      </w:pPr>
      <w:r>
        <w:rPr>
          <w:rFonts w:ascii="Cambria" w:cs="Cambria" w:eastAsia="Cambria" w:hAnsi="Cambria"/>
          <w:b/>
          <w:bCs/>
          <w:color w:val="000000"/>
          <w:sz w:val="28"/>
          <w:szCs w:val="28"/>
        </w:rPr>
        <w:t xml:space="preserve">Hukuki Değerlendirme ve Danışmanlık Hizmetinin Önemi</w:t>
      </w:r>
    </w:p>
    <w:p>
      <w:pPr>
        <w:spacing w:after="160" w:before="0" w:line="320"/>
        <w:jc w:val="both"/>
      </w:pPr>
      <w:r>
        <w:rPr>
          <w:rFonts w:ascii="Cambria" w:cs="Cambria" w:eastAsia="Cambria" w:hAnsi="Cambria"/>
          <w:color w:val="000000"/>
          <w:sz w:val="22"/>
          <w:szCs w:val="22"/>
        </w:rPr>
        <w:t xml:space="preserve">Ehliyet tebdil işlemi ilk bakışta basit bir idari başvuru gibi görünse de, özellikle yabancılar bakımından ikamet statüsü, yabancı belgenin niteliği, tercüme ve onay prosedürü, belge doğrulaması ve tebdile uygunluk analizi gibi birden çok husus birlikte değerlendirilmelidir. Yanlış ülke değerlendirmesi, eksik belge sunulması veya usule aykırı tercüme işlemleri başvurunun uzamasına ya da sonuçsuz kalmasına yol açabilmektedir.</w:t>
      </w:r>
    </w:p>
    <w:p>
      <w:pPr>
        <w:spacing w:after="160" w:before="0" w:line="320"/>
        <w:jc w:val="both"/>
      </w:pPr>
      <w:r>
        <w:rPr>
          <w:rFonts w:ascii="Cambria" w:cs="Cambria" w:eastAsia="Cambria" w:hAnsi="Cambria"/>
          <w:color w:val="000000"/>
          <w:sz w:val="22"/>
          <w:szCs w:val="22"/>
        </w:rPr>
        <w:t xml:space="preserve">Hukuk büromuz, Türkiye’de yerleşik hayat kuran ya da uzun süreli kalış planlayan yabancı uyruklu müvekkillere; başvuru dosyasının ön incelemesi, tebdile uygunluk değerlendirmesi, tercüme ve noter onay süreçlerinin yönetimi, NVİGM ile yürütülecek yazışmalar, sağlık raporu ve adli sicil temini gibi süreçlerde uçtan uca hukuki danışmanlık hizmeti sunmaktadır. Başvuru öncesinde dosyanın hukuki ve pratik açıdan incelenmesi, sürecin daha hızlı, güvenli ve öngörülebilir biçimde ilerlemesini sağlamaktadır.</w:t>
      </w:r>
    </w:p>
    <w:p>
      <w:pPr>
        <w:spacing w:after="160" w:before="0" w:line="320"/>
        <w:jc w:val="both"/>
      </w:pPr>
      <w:r>
        <w:rPr>
          <w:rFonts w:ascii="Cambria" w:cs="Cambria" w:eastAsia="Cambria" w:hAnsi="Cambria"/>
          <w:color w:val="000000"/>
          <w:sz w:val="22"/>
          <w:szCs w:val="22"/>
        </w:rPr>
        <w:t xml:space="preserve">Konuya ilişkin somut durumunuza özgü hukuki değerlendirme için büromuzdan randevu talep edebilirsiniz.</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66666"/>
        <w:sz w:val="18"/>
        <w:szCs w:val="18"/>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6" w:space="4"/>
      </w:pBdr>
      <w:jc w:val="right"/>
    </w:pPr>
    <w:r>
      <w:rPr>
        <w:rFonts w:ascii="Cambria" w:cs="Cambria" w:eastAsia="Cambria" w:hAnsi="Cambria"/>
        <w:i/>
        <w:iCs/>
        <w:color w:val="666666"/>
        <w:sz w:val="18"/>
        <w:szCs w:val="18"/>
      </w:rPr>
      <w:t xml:space="preserve">Yabancıların Türkiye’de Araç Kullanabilmesi ve Ehliyet Tebdil İşlemleri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mbria" w:cs="Cambria" w:eastAsia="Cambria" w:hAnsi="Cambr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Cambria" w:cs="Cambria" w:eastAsia="Cambria" w:hAnsi="Cambria"/>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000000"/>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000000"/>
      <w:sz w:val="28"/>
      <w:szCs w:val="28"/>
    </w:rPr>
  </w:style>
  <w:style w:type="paragraph" w:styleId="Heading2">
    <w:name w:val="Heading 2"/>
    <w:basedOn w:val="Normal"/>
    <w:next w:val="Normal"/>
    <w:qFormat/>
    <w:pPr>
      <w:spacing w:after="160" w:before="280"/>
      <w:outlineLvl w:val="1"/>
    </w:pPr>
    <w:rPr>
      <w:rFonts w:ascii="Cambria" w:cs="Cambria" w:eastAsia="Cambria" w:hAnsi="Cambria"/>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Yabancıların Ehliyet Tebdil İşlemi</dc:title>
  <dc:creator>Av. Necmettin Barman Hukuk Bürosu</dc:creator>
  <cp:lastModifiedBy>Un-named</cp:lastModifiedBy>
  <cp:revision>1</cp:revision>
  <dcterms:created xsi:type="dcterms:W3CDTF">2026-05-12T13:17:13.084Z</dcterms:created>
  <dcterms:modified xsi:type="dcterms:W3CDTF">2026-05-12T13:17:13.085Z</dcterms:modified>
</cp:coreProperties>
</file>

<file path=docProps/custom.xml><?xml version="1.0" encoding="utf-8"?>
<Properties xmlns="http://schemas.openxmlformats.org/officeDocument/2006/custom-properties" xmlns:vt="http://schemas.openxmlformats.org/officeDocument/2006/docPropsVTypes"/>
</file>