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lineRule="auto"/>
        <w:jc w:val="center"/>
      </w:pPr>
      <w:r>
        <w:rPr>
          <w:rFonts w:ascii="Times New Roman" w:cs="Times New Roman" w:eastAsia="Times New Roman" w:hAnsi="Times New Roman"/>
          <w:b/>
          <w:bCs/>
          <w:caps w:val="false"/>
          <w:color w:val="000000"/>
          <w:sz w:val="36"/>
          <w:szCs w:val="36"/>
        </w:rPr>
        <w:t xml:space="preserve">GAYRİMENKUL DAVALARI VE ÖZELLİKLE TAŞINMAZ SATIŞ VAADİ SÖZLEŞMESİNİN İHLALİNDEN DOĞAN DAVALAR</w:t>
      </w:r>
    </w:p>
    <w:p>
      <w:pPr>
        <w:pBdr>
          <w:bottom w:val="single" w:color="000000" w:sz="6" w:space="1"/>
        </w:pBdr>
        <w:spacing w:after="360" w:before="0"/>
        <w:jc w:val="center"/>
      </w:pPr>
      <w:r>
        <w:rPr>
          <w:rFonts w:ascii="Times New Roman" w:cs="Times New Roman" w:eastAsia="Times New Roman" w:hAnsi="Times New Roman"/>
          <w:sz w:val="2"/>
          <w:szCs w:val="2"/>
        </w:rPr>
        <w:t xml:space="preserve"/>
      </w:r>
    </w:p>
    <w:p>
      <w:pPr>
        <w:spacing w:after="600" w:before="0" w:line="320" w:lineRule="auto"/>
        <w:jc w:val="center"/>
      </w:pPr>
      <w:r>
        <w:rPr>
          <w:rFonts w:ascii="Times New Roman" w:cs="Times New Roman" w:eastAsia="Times New Roman" w:hAnsi="Times New Roman"/>
          <w:i/>
          <w:iCs/>
          <w:color w:val="333333"/>
          <w:sz w:val="26"/>
          <w:szCs w:val="26"/>
        </w:rPr>
        <w:t xml:space="preserve">Şekil Şartı, Aynen İfa, Tapu İptal ve Tescil, Dönme, Tazminat ve Bedel İadesi Bakımından Hukuki Değerlendirme</w:t>
      </w:r>
    </w:p>
    <w:p>
      <w:pPr>
        <w:keepNext/>
        <w:spacing w:after="240" w:before="480" w:line="320" w:lineRule="auto"/>
        <w:jc w:val="left"/>
      </w:pPr>
      <w:r>
        <w:rPr>
          <w:rFonts w:ascii="Times New Roman" w:cs="Times New Roman" w:eastAsia="Times New Roman" w:hAnsi="Times New Roman"/>
          <w:b/>
          <w:bCs/>
          <w:color w:val="000000"/>
          <w:sz w:val="28"/>
          <w:szCs w:val="28"/>
        </w:rPr>
        <w:t xml:space="preserve">Giriş</w:t>
      </w:r>
    </w:p>
    <w:p>
      <w:pPr>
        <w:spacing w:after="200" w:before="0" w:line="320" w:lineRule="auto"/>
        <w:ind w:firstLine="567"/>
        <w:jc w:val="both"/>
      </w:pPr>
      <w:r>
        <w:rPr>
          <w:rFonts w:ascii="Times New Roman" w:cs="Times New Roman" w:eastAsia="Times New Roman" w:hAnsi="Times New Roman"/>
          <w:sz w:val="24"/>
          <w:szCs w:val="24"/>
        </w:rPr>
        <w:t xml:space="preserve">Gayrimenkul uyuşmazlıkları, uygulamada en sık karşılaşılan özel hukuk uyuşmazlıkları arasında yer almaktadır. Bu uyuşmazlıklar yalnızca tapu iptal ve tescil davalarından ibaret değildir; satış vaadi sözleşmesinden doğan ifa davaları, bedel iadesi davaları, tazminat davaları, gecikme kaynaklı kira kaybı talepleri, sözleşmeden dönmeye dayalı alacak davaları, sebepsiz zenginleşme davaları, şerh kaynaklı uyuşmazlıklar ve kimi hâllerde haksız fiil veya güven sorumluluğuna dayanan talepler de bu alanın kapsamı içindedir.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Özellikle taşınmaz satış vaadi sözleşmelerinde, sözleşmenin </w:t>
      </w:r>
      <w:r>
        <w:rPr>
          <w:rFonts w:ascii="Times New Roman" w:cs="Times New Roman" w:eastAsia="Times New Roman" w:hAnsi="Times New Roman"/>
          <w:b/>
          <w:bCs/>
          <w:i w:val="false"/>
          <w:iCs w:val="false"/>
          <w:sz w:val="24"/>
          <w:szCs w:val="24"/>
        </w:rPr>
        <w:t xml:space="preserve">noterde düzenleme şeklinde</w:t>
      </w:r>
      <w:r>
        <w:rPr>
          <w:rFonts w:ascii="Times New Roman" w:cs="Times New Roman" w:eastAsia="Times New Roman" w:hAnsi="Times New Roman"/>
          <w:b w:val="false"/>
          <w:bCs w:val="false"/>
          <w:i w:val="false"/>
          <w:iCs w:val="false"/>
          <w:sz w:val="24"/>
          <w:szCs w:val="24"/>
        </w:rPr>
        <w:t xml:space="preserve"> yapılıp yapılmadığı, davanın niteliğini ve ileri sürülebilecek talepleri doğrudan değiştirmektedir. Taşınmaz satış vaadi sözleşmesi, tarafların ileride tapuda resmî satış işlemini yapmayı üstlendikleri bir ön sözleşmedir. Bu sözleşme mülkiyeti kendiliğinden devretmez; ancak şartları oluştuğunda vaat alacaklısına, borçludan tapu devrini isteme hakkı sağlar. Bu sonucun doğabilmesi için ise sözleşmenin kanunun aradığı </w:t>
      </w:r>
      <w:r>
        <w:rPr>
          <w:rFonts w:ascii="Times New Roman" w:cs="Times New Roman" w:eastAsia="Times New Roman" w:hAnsi="Times New Roman"/>
          <w:b/>
          <w:bCs/>
          <w:i w:val="false"/>
          <w:iCs w:val="false"/>
          <w:sz w:val="24"/>
          <w:szCs w:val="24"/>
        </w:rPr>
        <w:t xml:space="preserve">resmî şekle</w:t>
      </w:r>
      <w:r>
        <w:rPr>
          <w:rFonts w:ascii="Times New Roman" w:cs="Times New Roman" w:eastAsia="Times New Roman" w:hAnsi="Times New Roman"/>
          <w:b w:val="false"/>
          <w:bCs w:val="false"/>
          <w:i w:val="false"/>
          <w:iCs w:val="false"/>
          <w:sz w:val="24"/>
          <w:szCs w:val="24"/>
        </w:rPr>
        <w:t xml:space="preserve"> uygun olarak kurulmuş olması gerekir. Nitekim taşınmaz satışı vaadi, geri alım ve alım sözleşmelerinin resmî şekilde düzenlenmediği takdirde geçerli olmayacağı 6098 sayılı Türk Borçlar Kanunu’nun 237. maddesinde açıkça düzenlenmiştir.</w:t>
      </w:r>
    </w:p>
    <w:p>
      <w:pPr>
        <w:spacing w:after="200" w:before="0" w:line="320" w:lineRule="auto"/>
        <w:ind w:firstLine="567"/>
        <w:jc w:val="both"/>
      </w:pPr>
      <w:r>
        <w:rPr>
          <w:rFonts w:ascii="Times New Roman" w:cs="Times New Roman" w:eastAsia="Times New Roman" w:hAnsi="Times New Roman"/>
          <w:sz w:val="24"/>
          <w:szCs w:val="24"/>
        </w:rPr>
        <w:t xml:space="preserve">Gayrimenkul davaları, yalnızca taşınmaz satışına veya satış vaadi sözleşmelerine ilişkin uyuşmazlıklarla sınırlı değildir. Uygulamada bu kapsamda en sık karşılaşılan dava türleri; tapu iptal ve tescil davaları, ortaklığın giderilmesi (izale-i şüyu) davaları, elatmanın önlenmesi (müdahalenin meni) davaları, ecrimisil (haksız işgal tazminatı) davaları, kamulaştırma ve kamulaştırmasız el atma davaları, kira ilişkilerinden doğan tahliye ve alacak davaları ile taşınmazın aynına veya kullanımına ilişkin çeşitli tazminat davalarıdır.</w:t>
      </w:r>
    </w:p>
    <w:p>
      <w:pPr>
        <w:spacing w:after="200" w:before="0" w:line="320" w:lineRule="auto"/>
        <w:ind w:firstLine="567"/>
        <w:jc w:val="both"/>
      </w:pPr>
      <w:r>
        <w:rPr>
          <w:rFonts w:ascii="Times New Roman" w:cs="Times New Roman" w:eastAsia="Times New Roman" w:hAnsi="Times New Roman"/>
          <w:sz w:val="24"/>
          <w:szCs w:val="24"/>
        </w:rPr>
        <w:t xml:space="preserve">Bununla birlikte uygulamada en karmaşık ve teknik nitelikteki uyuşmazlıkların önemli bir bölümü, taşınmaz satış vaadi sözleşmelerinden kaynaklanmaktadır. Sözleşmenin geçerliliği, şekil şartına uygunluğu, tapuya şerh verilip verilmediği, borçlunun temerrüdü ve taşınmazın üçüncü kişilere devri gibi hususlar; açılabilecek davaların türünü ve talep edilebilecek hakları doğrudan belirlemektedir. Bu nedenle taşınmaz satış vaadi sözleşmeleri, gayrimenkul hukukunun en kritik ve dikkat gerektiren alanlarından birini oluşturmaktadır.</w:t>
      </w:r>
    </w:p>
    <w:p>
      <w:pPr>
        <w:keepNext/>
        <w:spacing w:after="240" w:before="480" w:line="320" w:lineRule="auto"/>
        <w:jc w:val="left"/>
      </w:pPr>
      <w:r>
        <w:rPr>
          <w:rFonts w:ascii="Times New Roman" w:cs="Times New Roman" w:eastAsia="Times New Roman" w:hAnsi="Times New Roman"/>
          <w:b/>
          <w:bCs/>
          <w:color w:val="000000"/>
          <w:sz w:val="28"/>
          <w:szCs w:val="28"/>
        </w:rPr>
        <w:t xml:space="preserve">I. Taşınmaz Satış Vaadi Sözleşmesinin Hukuki Niteliği</w:t>
      </w:r>
    </w:p>
    <w:p>
      <w:pPr>
        <w:spacing w:after="200" w:before="0" w:line="320" w:lineRule="auto"/>
        <w:ind w:firstLine="567"/>
        <w:jc w:val="both"/>
      </w:pPr>
      <w:r>
        <w:rPr>
          <w:rFonts w:ascii="Times New Roman" w:cs="Times New Roman" w:eastAsia="Times New Roman" w:hAnsi="Times New Roman"/>
          <w:sz w:val="24"/>
          <w:szCs w:val="24"/>
        </w:rPr>
        <w:t xml:space="preserve">Taşınmaz satış vaadi sözleşmesi, ileride bir taşınmaz satış sözleşmesi yapılmasını borç altına sokan bir ön sözleşmedir. Bu sözleşme ile vaat borçlusu, belirli şartlar gerçekleştiğinde veya kararlaştırılan bir tarihte taşınmazı tapuda devretmeyi; vaat alacaklısı ise genellikle kararlaştırılan bedeli ödemeyi üstlenir. Dolayısıyla sözleşme doğrudan mülkiyet nakli sonucu doğurmaz; buna karşılık geçerli kurulmuşsa, şartları oluştuğunda aynen ifa ve buna bağlı tapu iptal ve tescil talebine dayanak teşkil edebilir.</w:t>
      </w:r>
    </w:p>
    <w:p>
      <w:pPr>
        <w:spacing w:after="200" w:before="0" w:line="320" w:lineRule="auto"/>
        <w:ind w:firstLine="567"/>
        <w:jc w:val="both"/>
      </w:pPr>
      <w:r>
        <w:rPr>
          <w:rFonts w:ascii="Times New Roman" w:cs="Times New Roman" w:eastAsia="Times New Roman" w:hAnsi="Times New Roman"/>
          <w:sz w:val="24"/>
          <w:szCs w:val="24"/>
        </w:rPr>
        <w:t xml:space="preserve">Sözleşmenin uygulamadaki önemi özellikle maketten satışlarda, proje geliştirme süreçlerinde, hisseli taşınmazlarda, kat irtifakı veya kat mülkiyeti kurulması beklenen projelerde ve henüz tapu devri yapılmamış olmakla birlikte tarafların satış iradesini bağlamış olduğu ilişkilerde ortaya çıkmaktadır. Ancak vaadin konusunun açık, belirlenebilir ve hukuken devre elverişli olması; vaat borçlusunun da malik veya devre yetkili kişi olması zorunludur. Aksi takdirde ifa ve tescil aşamasında ciddi sorunlar doğabilir. Bu sebeple sözleşmenin yalnızca şekli değil; konusu, kapsamı ve borçlunun tasarruf yetkisi de en az şekil kadar belirleyici unsurlardır.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yerleşik içtihatlarına göre taşınmaz satış vaadi sözleşmesi, mülkiyeti doğrudan nakletmeyen bir ön sözleşme olup; geçerli şekilde kurulmuş olması hâlinde vaat alacaklısına, koşullarının oluşması üzerine borçludan tapu devrini talep ve dava yoluyla bu devri gerçekleştirme imkânı sağlar.</w:t>
      </w:r>
    </w:p>
    <w:p>
      <w:pPr>
        <w:keepNext/>
        <w:spacing w:after="240" w:before="480" w:line="320" w:lineRule="auto"/>
        <w:jc w:val="left"/>
      </w:pPr>
      <w:r>
        <w:rPr>
          <w:rFonts w:ascii="Times New Roman" w:cs="Times New Roman" w:eastAsia="Times New Roman" w:hAnsi="Times New Roman"/>
          <w:b/>
          <w:bCs/>
          <w:color w:val="000000"/>
          <w:sz w:val="28"/>
          <w:szCs w:val="28"/>
        </w:rPr>
        <w:t xml:space="preserve">II. Şekil Şartı: Neden Hayati Öneme Sahiptir?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Tapulu taşınmazlara ilişkin satış ve satış vaadi ilişkilerinde şekil şartı, kamu düzeninden kaynaklanan bir geçerlilik koşuludur. 4721 sayılı Türk Medeni Kanunu’nun 706. maddesi taşınmaz mülkiyetinin devrini amaçlayan sözleşmelerde resmî şekli esas almakta; 6098 sayılı Türk Borçlar Kanunu’nun 237. maddesi ise taşınmaz satışı vaadinin resmî şekilde düzenlenmedikçe geçerli olmayacağını açıkça hükme bağlamaktadır. 2644 sayılı Tapu Kanunu’nun 26. maddesi ve 1512 sayılı Noterlik Kanunu hükümleriyle birlikte değerlendirildiğinde, taşınmaz satış vaadi sözleşmesinin </w:t>
      </w:r>
      <w:r>
        <w:rPr>
          <w:rFonts w:ascii="Times New Roman" w:cs="Times New Roman" w:eastAsia="Times New Roman" w:hAnsi="Times New Roman"/>
          <w:b/>
          <w:bCs/>
          <w:i w:val="false"/>
          <w:iCs w:val="false"/>
          <w:sz w:val="24"/>
          <w:szCs w:val="24"/>
        </w:rPr>
        <w:t xml:space="preserve">noterlikçe düzenleme şeklinde</w:t>
      </w:r>
      <w:r>
        <w:rPr>
          <w:rFonts w:ascii="Times New Roman" w:cs="Times New Roman" w:eastAsia="Times New Roman" w:hAnsi="Times New Roman"/>
          <w:b w:val="false"/>
          <w:bCs w:val="false"/>
          <w:i w:val="false"/>
          <w:iCs w:val="false"/>
          <w:sz w:val="24"/>
          <w:szCs w:val="24"/>
        </w:rPr>
        <w:t xml:space="preserve"> yapılması zorunludur. Bu sebeple yalnızca imza onayı veya adi yazılı bir metin, kural olarak geçerlilik için yeterli değildir.</w:t>
      </w:r>
    </w:p>
    <w:p>
      <w:pPr>
        <w:spacing w:after="200" w:before="0" w:line="320" w:lineRule="auto"/>
        <w:ind w:firstLine="567"/>
        <w:jc w:val="both"/>
      </w:pPr>
      <w:r>
        <w:rPr>
          <w:rFonts w:ascii="Times New Roman" w:cs="Times New Roman" w:eastAsia="Times New Roman" w:hAnsi="Times New Roman"/>
          <w:sz w:val="24"/>
          <w:szCs w:val="24"/>
        </w:rPr>
        <w:t xml:space="preserve">Şekil şartının ihlali son derece ağır sonuçlar doğurur. Zira geçersiz bir sözleşmeye dayanarak kural olarak tapu iptal ve tescil istenemeyeceği gibi, sözleşmeye aykırılığa bağlı klasik ifa temelli talepler de büyük ölçüde kapanır. Başka bir anlatımla, tarafların iradesi uyuşmuş olsa dahi yasal şekle uyulmadıkça taşınmaz satış vaadi geçerli sayılmaz. Özellikle piyasada sıkça karşılaşılan “adi yazılı sözleşme”, “kapora protokolü”, “elden satış belgesi”, “ön rezervasyon metni” veya “harici satış” belgeleri; şekil şartını karşılamadıkları için çoğu zaman tapu devrine zorlama imkânı vermez. Bu yönüyle şekil eksikliği yalnızca teknik bir mesele değil, doğrudan hak kaybına yol açan esaslı bir hukuki sorundur.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Yargıtay’ın istikrar kazanmış uygulamasına göre, taşınmaz satış vaadi sözleşmesinin noter tarafından düzenleme şeklinde yapılması bir geçerlilik şartıdır. Bu şekle uyulmaksızın kurulan adi yazılı sözleşmeler kural olarak hüküm doğurmaz; bu sözleşmelere dayanılarak açılan tapu iptal ve tescil davaları reddedilmektedir.</w:t>
      </w:r>
    </w:p>
    <w:p>
      <w:pPr>
        <w:keepNext/>
        <w:spacing w:after="240" w:before="480" w:line="320" w:lineRule="auto"/>
        <w:jc w:val="left"/>
      </w:pPr>
      <w:r>
        <w:rPr>
          <w:rFonts w:ascii="Times New Roman" w:cs="Times New Roman" w:eastAsia="Times New Roman" w:hAnsi="Times New Roman"/>
          <w:b/>
          <w:bCs/>
          <w:color w:val="000000"/>
          <w:sz w:val="28"/>
          <w:szCs w:val="28"/>
        </w:rPr>
        <w:t xml:space="preserve">III. Noter Satış Vaadi Sözleşmesinin İhlali Hâlinde Açılabilecek Davalar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Noterde düzenleme şeklinde, dolayısıyla geçerli olarak kurulmuş bir taşınmaz satış vaadi sözleşmesinin ihlali hâlinde gündeme gelebilecek davalar birkaç ana grupta toplanabilir: </w:t>
      </w:r>
      <w:r>
        <w:rPr>
          <w:rFonts w:ascii="Times New Roman" w:cs="Times New Roman" w:eastAsia="Times New Roman" w:hAnsi="Times New Roman"/>
          <w:b/>
          <w:bCs/>
          <w:i w:val="false"/>
          <w:iCs w:val="false"/>
          <w:sz w:val="24"/>
          <w:szCs w:val="24"/>
        </w:rPr>
        <w:t xml:space="preserve">aynen ifa ile birlikte tapu iptal ve tescil davası</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TBK m. 125 kapsamındaki seçimlik haklara dayalı tazminat ve dönme talepleri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teslim gecikmesinden doğan kira kaybı tazminatı</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şerhe bağlı olarak üçüncü kişilere karşı koruma talepleri</w:t>
      </w:r>
      <w:r>
        <w:rPr>
          <w:rFonts w:ascii="Times New Roman" w:cs="Times New Roman" w:eastAsia="Times New Roman" w:hAnsi="Times New Roman"/>
          <w:b w:val="false"/>
          <w:bCs w:val="false"/>
          <w:i w:val="false"/>
          <w:iCs w:val="false"/>
          <w:sz w:val="24"/>
          <w:szCs w:val="24"/>
        </w:rPr>
        <w:t xml:space="preserve"> ve olayın niteliğine göre </w:t>
      </w:r>
      <w:r>
        <w:rPr>
          <w:rFonts w:ascii="Times New Roman" w:cs="Times New Roman" w:eastAsia="Times New Roman" w:hAnsi="Times New Roman"/>
          <w:b/>
          <w:bCs/>
          <w:i w:val="false"/>
          <w:iCs w:val="false"/>
          <w:sz w:val="24"/>
          <w:szCs w:val="24"/>
        </w:rPr>
        <w:t xml:space="preserve">cezai şart ve alacak davaları</w:t>
      </w:r>
      <w:r>
        <w:rPr>
          <w:rFonts w:ascii="Times New Roman" w:cs="Times New Roman" w:eastAsia="Times New Roman" w:hAnsi="Times New Roman"/>
          <w:b w:val="false"/>
          <w:bCs w:val="false"/>
          <w:i w:val="false"/>
          <w:iCs w:val="false"/>
          <w:sz w:val="24"/>
          <w:szCs w:val="24"/>
        </w:rPr>
        <w:t xml:space="preserve">. Hangi talebin ileri sürülebileceği; sözleşmenin geçerliliğine, borçlunun temerrüde düşmüş olup olmamasına, teslim veya tescilin imkânına ve sözleşmede kararlaştırılmış özel hükümlere göre değişmektedir.</w:t>
      </w:r>
    </w:p>
    <w:p>
      <w:pPr>
        <w:spacing w:after="200" w:before="0" w:line="320" w:lineRule="auto"/>
        <w:ind w:firstLine="567"/>
        <w:jc w:val="both"/>
      </w:pPr>
      <w:r>
        <w:rPr>
          <w:rFonts w:ascii="Times New Roman" w:cs="Times New Roman" w:eastAsia="Times New Roman" w:hAnsi="Times New Roman"/>
          <w:sz w:val="24"/>
          <w:szCs w:val="24"/>
        </w:rPr>
        <w:t xml:space="preserve">Bu noktada belirleyici olan ilk ayrım şudur: Vaat borçlusu hâlâ devri yapabilecek durumdaysa ve sözleşme geçerliyse, vaat alacaklısı kural olarak aynen ifa ile birlikte tapu iptal ve tescil yolunu tercih eder. Buna karşılık taşınmaz üçüncü kişiye devredilmiş, aynen ifa objektif olarak imkânsız hâle gelmiş veya alacaklı artık devri istemiyorsa; bu defa TBK m. 125’te düzenlenen seçimlik haklar, sözleşmeden dönme ve tazminat başlıkları ön plana çıkar. Özellikle teslim ve tescil tarihi sözleşmede açıkça kararlaştırılmış projelerde; devrin gecikmesinden kaynaklanan kira kaybı ve benzeri zarar kalemleri de davaya konu edilebilir.</w:t>
      </w:r>
    </w:p>
    <w:p>
      <w:pPr>
        <w:keepNext/>
        <w:spacing w:after="240" w:before="480" w:line="320" w:lineRule="auto"/>
        <w:jc w:val="left"/>
      </w:pPr>
      <w:r>
        <w:rPr>
          <w:rFonts w:ascii="Times New Roman" w:cs="Times New Roman" w:eastAsia="Times New Roman" w:hAnsi="Times New Roman"/>
          <w:b/>
          <w:bCs/>
          <w:color w:val="000000"/>
          <w:sz w:val="28"/>
          <w:szCs w:val="28"/>
        </w:rPr>
        <w:t xml:space="preserve">IV. TBK m. 125’e Göre Seçimlik Haklar</w:t>
      </w:r>
    </w:p>
    <w:p>
      <w:pPr>
        <w:spacing w:after="200" w:before="0" w:line="320" w:lineRule="auto"/>
        <w:ind w:firstLine="567"/>
        <w:jc w:val="both"/>
      </w:pPr>
      <w:r>
        <w:rPr>
          <w:rFonts w:ascii="Times New Roman" w:cs="Times New Roman" w:eastAsia="Times New Roman" w:hAnsi="Times New Roman"/>
          <w:sz w:val="24"/>
          <w:szCs w:val="24"/>
        </w:rPr>
        <w:t xml:space="preserve">TBK m. 125, karşılıklı borç yükleyen sözleşmelerde borçlunun temerrüde düşmesi hâlinde alacaklıya üçlü bir seçim alanı tanımaktadır. Borçlu, verilen uygun süre içinde borcunu ifa etmez veya süre verilmesini gerektirmeyen bir durum söz konusu ise; alacaklı her zaman aynen ifa ile birlikte gecikme tazminatı isteyebilir. Bunun yanında alacaklı, ifadan vazgeçtiğini hemen bildirerek müspet (olumlu) zararının giderilmesini talep edebilir veya sözleşmeden dönebilir. Kanun, bu üç yolun çerçevesini açık biçimde belirlemiştir.</w:t>
      </w:r>
    </w:p>
    <w:p>
      <w:pPr>
        <w:spacing w:after="200" w:before="0" w:line="320" w:lineRule="auto"/>
        <w:ind w:firstLine="567"/>
        <w:jc w:val="both"/>
      </w:pPr>
      <w:r>
        <w:rPr>
          <w:rFonts w:ascii="Times New Roman" w:cs="Times New Roman" w:eastAsia="Times New Roman" w:hAnsi="Times New Roman"/>
          <w:sz w:val="24"/>
          <w:szCs w:val="24"/>
        </w:rPr>
        <w:t xml:space="preserve">Taşınmaz satış vaadi sözleşmesi bağlamında bu seçimlik haklar somut olarak şu şekilde tezahür eder: Alıcı, satıcıya uygun süre vermiş ve buna rağmen tapu devri gerçekleştirilmemişse, birinci yol olarak aynen ifa ile tapu devrini ve gecikmeden doğan zararlarını isteyebilir. İkinci yol olarak, artık devri istemediğini bildirip ifa yerine geçen müspet zararını talep etme yoluna gidebilir. Üçüncü yol olarak ise sözleşmeden dönüp verdiklerini geri isteyebilir ve dönmeye bağlı menfi zarar kalemlerini ileri sürebilir. Hangi yolun seçileceği stratejik bir meseledir; zira tercih edilen yol; davanın çerçevesini, talep sonucunu ve ispat yükünü ciddi biçimde etkiler.</w:t>
      </w:r>
    </w:p>
    <w:p>
      <w:pPr>
        <w:spacing w:after="200" w:before="0" w:line="320" w:lineRule="auto"/>
        <w:ind w:firstLine="567"/>
        <w:jc w:val="both"/>
      </w:pPr>
      <w:r>
        <w:rPr>
          <w:rFonts w:ascii="Times New Roman" w:cs="Times New Roman" w:eastAsia="Times New Roman" w:hAnsi="Times New Roman"/>
          <w:sz w:val="24"/>
          <w:szCs w:val="24"/>
        </w:rPr>
        <w:t xml:space="preserve">Önemli olan bir diğer husus da şudur: TBK m. 125’teki seçimlik haklar, borçlunun temerrüdü esasına dayanır. Bu sebeple satış vaadi sözleşmesinde tescil veya teslim borcunun ifa zamanının gelmiş olması; borçluya uygun süre tanınmış olması ya da süre verilmesini gereksiz kılan bir hâlin bulunması gerekir. Örneğin borçlunun taşınmazı üçüncü kişiye devrederek kendi edimini ifa etmesini imkânsız kılması, çoğu durumda ayrıca süre vermeyi anlamsız hâle getirebilir. Bu gibi hâllerde tescil artık mümkün olmadığından; aynen ifa yerine tazminat ve dönme başlıkları öne çıkar.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kararlarında, taşınmaz satış vaadi sözleşmesinde vaat borçlusunun taşınmazı bir başkasına devretmesi ya da taşınmaz üzerinde aynî hak tesis etmesi gibi durumlar; aynen ifayı imkânsız kılan ve süre verilmesini de gereksiz hâle getiren temerrüt hâlleri olarak değerlendirilmekte; bu durumda alacaklının doğrudan tazminat ve dönme talebinde bulunabileceği kabul edilmektedir.</w:t>
      </w:r>
    </w:p>
    <w:p>
      <w:pPr>
        <w:keepNext/>
        <w:spacing w:after="240" w:before="480" w:line="320" w:lineRule="auto"/>
        <w:jc w:val="left"/>
      </w:pPr>
      <w:r>
        <w:rPr>
          <w:rFonts w:ascii="Times New Roman" w:cs="Times New Roman" w:eastAsia="Times New Roman" w:hAnsi="Times New Roman"/>
          <w:b/>
          <w:bCs/>
          <w:color w:val="000000"/>
          <w:sz w:val="28"/>
          <w:szCs w:val="28"/>
        </w:rPr>
        <w:t xml:space="preserve">V. Taşınmazın Tesliminin Gecikmesi ve Aylık Kira Kaybı Tazminatı</w:t>
      </w:r>
    </w:p>
    <w:p>
      <w:pPr>
        <w:spacing w:after="200" w:before="0" w:line="320" w:lineRule="auto"/>
        <w:ind w:firstLine="567"/>
        <w:jc w:val="both"/>
      </w:pPr>
      <w:r>
        <w:rPr>
          <w:rFonts w:ascii="Times New Roman" w:cs="Times New Roman" w:eastAsia="Times New Roman" w:hAnsi="Times New Roman"/>
          <w:sz w:val="24"/>
          <w:szCs w:val="24"/>
        </w:rPr>
        <w:t xml:space="preserve">Satış vaadi sözleşmelerinde, özellikle inşaat şirketleri, müteahhitler ve proje geliştiriciler tarafından kullanılan metinlerde, taşınmazın belirli bir tarihte teslim edileceği kararlaştırılmaktadır. Eğer vaat edilen bağımsız bölüm kararlaştırılan tarihte teslim edilmezse; alıcı çoğu zaman “o dönemde kendi taşınmazımda oturamadım, kira ödemek zorunda kaldım” veya “daireyi kiraya verip gelir elde edecektim, bundan mahrum kaldım” gerekçesiyle aylık kira kaybı tazminatı talep etmektedir. Bu talep, hukuki niteliği itibarıyla gecikme tazminatı veya yoksun kalınan kazanç ya da mahrum kalınan kullanım değeri çerçevesinde değerlendirilebilir. Ancak sonuç otomatik olarak doğmaz; sözleşmedeki teslim tarihi, gecikmenin süresi, alıcının zararının gerçekliği ve zarar ile gecikme arasındaki uygun illiyet bağı somut olarak ortaya konulmalıdır.</w:t>
      </w:r>
    </w:p>
    <w:p>
      <w:pPr>
        <w:spacing w:after="200" w:before="0" w:line="320" w:lineRule="auto"/>
        <w:ind w:firstLine="567"/>
        <w:jc w:val="both"/>
      </w:pPr>
      <w:r>
        <w:rPr>
          <w:rFonts w:ascii="Times New Roman" w:cs="Times New Roman" w:eastAsia="Times New Roman" w:hAnsi="Times New Roman"/>
          <w:sz w:val="24"/>
          <w:szCs w:val="24"/>
        </w:rPr>
        <w:t xml:space="preserve">Aylık kira kaybı tazminatı talebinde mahkemeler kural olarak somut zarar denetimi yapmaktadır. Bu çerçevede alıcının gerçekten kira ödemek suretiyle başka bir taşınmazda oturmak zorunda kalmış olması; taşınmazın kira geliri elde etmeye uygun ve kiraya verilebilir nitelikte olması; benzer taşınmazlara ilişkin emsal kira değerleri; projenin hangi aşamasında geciktiği ve teslim engelinin satıcıdan mı yoksa objektif başka sebeplerden mi kaynaklandığı titizlikle incelenmektedir. Bu sebeple bu talep yalnızca soyut “her ay kira kaybettim” beyanıyla değil; kira sözleşmeleri, banka dekontları, emsal kira araştırması ve gerektiğinde bilirkişi raporuyla desteklenmelidir.</w:t>
      </w:r>
    </w:p>
    <w:p>
      <w:pPr>
        <w:spacing w:after="200" w:before="0" w:line="320" w:lineRule="auto"/>
        <w:ind w:firstLine="567"/>
        <w:jc w:val="both"/>
      </w:pPr>
      <w:r>
        <w:rPr>
          <w:rFonts w:ascii="Times New Roman" w:cs="Times New Roman" w:eastAsia="Times New Roman" w:hAnsi="Times New Roman"/>
          <w:sz w:val="24"/>
          <w:szCs w:val="24"/>
        </w:rPr>
        <w:t xml:space="preserve">Eğer sözleşmede gecikme hâlinde aylık belirli bir bedel ödeneceği açıkça kararlaştırılmışsa, alıcının pozisyonu önemli ölçüde güçlenir. Ancak burada da yine asıl sözleşmenin geçerliliği belirleyicidir. Geçerli noter düzenleme şeklindeki sözleşmede yer alan gecikme tazminatı veya cezai şart hükümleri ile adi yazılı ve geçersiz bir sözleşmedeki benzer hükümler aynı sonuçları doğurmaz. İşte tam da bu nedenle şekil şartı meselesi, yalnızca tescil değil; tazminat kalemleri bakımından da son derece önemli bir hukuki unsurdur.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kararlarında, teslim borcunun gecikmesinden kaynaklanan kira kaybı tazminatının soyut beyana dayalı olarak değil; somut delillere, emsal kira araştırmasına ve bilirkişi incelemesine dayanılarak hesaplanması gerektiği; ayrıca alıcının fiilen zarara uğradığını ispatlamak yükümlülüğünde olduğu vurgulanmaktadır.</w:t>
      </w:r>
    </w:p>
    <w:p>
      <w:pPr>
        <w:keepNext/>
        <w:spacing w:after="240" w:before="480" w:line="320" w:lineRule="auto"/>
        <w:jc w:val="left"/>
      </w:pPr>
      <w:r>
        <w:rPr>
          <w:rFonts w:ascii="Times New Roman" w:cs="Times New Roman" w:eastAsia="Times New Roman" w:hAnsi="Times New Roman"/>
          <w:b/>
          <w:bCs/>
          <w:color w:val="000000"/>
          <w:sz w:val="28"/>
          <w:szCs w:val="28"/>
        </w:rPr>
        <w:t xml:space="preserve">VI. Sözleşmeden Dönme</w:t>
      </w:r>
    </w:p>
    <w:p>
      <w:pPr>
        <w:spacing w:after="200" w:before="0" w:line="320" w:lineRule="auto"/>
        <w:ind w:firstLine="567"/>
        <w:jc w:val="both"/>
      </w:pPr>
      <w:r>
        <w:rPr>
          <w:rFonts w:ascii="Times New Roman" w:cs="Times New Roman" w:eastAsia="Times New Roman" w:hAnsi="Times New Roman"/>
          <w:sz w:val="24"/>
          <w:szCs w:val="24"/>
        </w:rPr>
        <w:t xml:space="preserve">Satış vaadi sözleşmesinde satıcının edimini zamanında ifa etmemesi ve alıcının artık sözleşmenin devamını istememesi hâlinde, TBK m. 125 çerçevesinde sözleşmeden dönme hakkı gündeme gelir. Dönme hâlinde taraflar karşılıklı ifa yükümlülüklerinden kurtulur ve daha önce ifa ettiklerini geri isteme imkânı doğar. Bu çerçevede alıcı; ödediği satış bedelini, kaporayı, peşinatları ve sözleşmeye bağlı olarak yaptığı bazı ödemeleri geri talep edebilir. Ancak dönme, aynen ifa isteme hakkından nitelik itibarıyla farklıdır; bu durumda alıcı artık tapu devrini değil, sözleşmenin geçmişe etkili tasfiyesini hedefler.</w:t>
      </w:r>
    </w:p>
    <w:p>
      <w:pPr>
        <w:spacing w:after="200" w:before="0" w:line="320" w:lineRule="auto"/>
        <w:ind w:firstLine="567"/>
        <w:jc w:val="both"/>
      </w:pPr>
      <w:r>
        <w:rPr>
          <w:rFonts w:ascii="Times New Roman" w:cs="Times New Roman" w:eastAsia="Times New Roman" w:hAnsi="Times New Roman"/>
          <w:sz w:val="24"/>
          <w:szCs w:val="24"/>
        </w:rPr>
        <w:t xml:space="preserve">Dönme hâlinde hangi zararların istenebileceği ayrıca özenle değerlendirilmelidir. Öğreti ve uygulamada genel olarak dönme hâlinde menfi (olumsuz) zarar çerçevesi öne çıkmaktadır; yani taraf, hiç bu sözleşmeye güvenmeseydi içinde bulunacağı ekonomik duruma dönmeyi hedefler. Bu kapsama bazı işlem masrafları, boşuna yapılan giderler, ödenen bedelin iadesi ve olayın niteliğine göre faiz ile denkleştirici adalet ilkesi çerçevesindeki kalemler girebilir. Hangi zarar kaleminin hangi hukuki sebebe dayandığı dikkatle kurulmalıdır; aksi hâlde talep, yanlış nitelendirme gerekçesiyle reddedilebilir.</w:t>
      </w:r>
    </w:p>
    <w:p>
      <w:pPr>
        <w:keepNext/>
        <w:spacing w:after="240" w:before="480" w:line="320" w:lineRule="auto"/>
        <w:jc w:val="left"/>
      </w:pPr>
      <w:r>
        <w:rPr>
          <w:rFonts w:ascii="Times New Roman" w:cs="Times New Roman" w:eastAsia="Times New Roman" w:hAnsi="Times New Roman"/>
          <w:b/>
          <w:bCs/>
          <w:color w:val="000000"/>
          <w:sz w:val="28"/>
          <w:szCs w:val="28"/>
        </w:rPr>
        <w:t xml:space="preserve">VII. Tapu İptal ve Tescil Davası</w:t>
      </w:r>
    </w:p>
    <w:p>
      <w:pPr>
        <w:spacing w:after="200" w:before="0" w:line="320" w:lineRule="auto"/>
        <w:ind w:firstLine="567"/>
        <w:jc w:val="both"/>
      </w:pPr>
      <w:r>
        <w:rPr>
          <w:rFonts w:ascii="Times New Roman" w:cs="Times New Roman" w:eastAsia="Times New Roman" w:hAnsi="Times New Roman"/>
          <w:sz w:val="24"/>
          <w:szCs w:val="24"/>
        </w:rPr>
        <w:t xml:space="preserve">Taşınmaz satış vaadi sözleşmesinden kaynaklanan uyuşmazlıklarda en kritik dava türü, hiç kuşkusuz tapu iptal ve tescil davasıdır. Bu dava, geçerli bir satış vaadi sözleşmesine dayanılarak taşınmazın mülkiyetinin davacı adına geçirilmesini amaçlar. Dava kabul edilirse mahkeme kararı tapu devri yerine geçer ve mülkiyet hükmen tescil edilir. Ancak bunun için her şeyden önce sözleşmenin geçerli olması; taşınmazın belirli veya belirlenebilir olması; davalının tapu maliki veya devre yetkili kişi olması ve aynen ifanın hukuken mümkün bulunması gerekir.</w:t>
      </w:r>
    </w:p>
    <w:p>
      <w:pPr>
        <w:spacing w:after="200" w:before="0" w:line="320" w:lineRule="auto"/>
        <w:ind w:firstLine="567"/>
        <w:jc w:val="both"/>
      </w:pPr>
      <w:r>
        <w:rPr>
          <w:rFonts w:ascii="Times New Roman" w:cs="Times New Roman" w:eastAsia="Times New Roman" w:hAnsi="Times New Roman"/>
          <w:sz w:val="24"/>
          <w:szCs w:val="24"/>
        </w:rPr>
        <w:t xml:space="preserve">Tapu iptal ve tescil davasında, sözleşmenin tapuya şerh edilmiş olması ayrıca büyük avantaj sağlar. TMK m. 1009 ve Tapu Kanunu m. 26 çerçevesinde satış vaadi sözleşmesi tapuya şerh edildiğinde, kişisel hak güçlenir ve belirli ölçüde üçüncü kişilere karşı da ileri sürülebilir hâle gelir. Tapu Kanunu m. 26 uyarınca bu şerhin kural olarak beş yıllık etkisi bulunmakta; bu sürenin sonunda şerh, hukuki gücünü kaybetmektedir. Şerh konulmamış ise ve taşınmaz iyiniyetli üçüncü kişiye geçmişse, tescil talebi ciddi şekilde zayıflar. Şerh konulmuş ise, sonraki malike karşı dahi hak ileri sürme imkânı önemli ölçüde güçlenmektedir.</w:t>
      </w:r>
    </w:p>
    <w:p>
      <w:pPr>
        <w:spacing w:after="200" w:before="0" w:line="320" w:lineRule="auto"/>
        <w:ind w:firstLine="567"/>
        <w:jc w:val="both"/>
      </w:pPr>
      <w:r>
        <w:rPr>
          <w:rFonts w:ascii="Times New Roman" w:cs="Times New Roman" w:eastAsia="Times New Roman" w:hAnsi="Times New Roman"/>
          <w:sz w:val="24"/>
          <w:szCs w:val="24"/>
        </w:rPr>
        <w:t xml:space="preserve">Öte yandan taşınmaz üçüncü kişiye devredilmiş ve aynen ifa imkânsız hâle gelmişse; Yargıtay uygulamasında da vurgulandığı üzere artık tescil değil, başka alacak ve tazminat talepleri öne çıkar. Nitekim taşınmazın mülkiyeti vaat alacaklısı lehine tescil edilemeyecek duruma geldiğinde; davanın niteliği dönme, bedel iadesi, tazminat veya sebepsiz zenginleşme çizgisine kaymaktadır. Bu sebeple davanın açılacağı tarihte tapu kaydının ve üçüncü kişi durumunun mutlaka kontrol edilmesi gerekir.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14. Hukuk Dairesi’nin yerleşik kararlarında, taşınmaz satış vaadi sözleşmesine dayalı tapu iptal ve tescil davalarının kabul edilebilmesi için sözleşmenin geçerli şekilde kurulmuş olması, vaat borçlusunun tapu maliki ya da devre yetkili kişi olması, taşınmazın belirli olması ve aynen ifanın mümkün olması gerektiği; taşınmazın üçüncü kişiye devri hâlinde ise devralanın iyiniyetli olup olmadığının ve sözleşmenin tapuya şerh edilip edilmediğinin belirleyici olduğu kabul edilmektedir.</w:t>
      </w:r>
    </w:p>
    <w:p>
      <w:pPr>
        <w:keepNext/>
        <w:spacing w:after="240" w:before="480" w:line="320" w:lineRule="auto"/>
        <w:jc w:val="left"/>
      </w:pPr>
      <w:r>
        <w:rPr>
          <w:rFonts w:ascii="Times New Roman" w:cs="Times New Roman" w:eastAsia="Times New Roman" w:hAnsi="Times New Roman"/>
          <w:b/>
          <w:bCs/>
          <w:color w:val="000000"/>
          <w:sz w:val="28"/>
          <w:szCs w:val="28"/>
        </w:rPr>
        <w:t xml:space="preserve">VIII. Şekle Aykırılık ve Doğurduğu Hak Kayıpları</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Taşınmaz satış vaadi sözleşmesinin noterde düzenleme şeklinde yapılmamış olması, kural olarak </w:t>
      </w:r>
      <w:r>
        <w:rPr>
          <w:rFonts w:ascii="Times New Roman" w:cs="Times New Roman" w:eastAsia="Times New Roman" w:hAnsi="Times New Roman"/>
          <w:b/>
          <w:bCs/>
          <w:i w:val="false"/>
          <w:iCs w:val="false"/>
          <w:sz w:val="24"/>
          <w:szCs w:val="24"/>
        </w:rPr>
        <w:t xml:space="preserve">kesin hükümsüzlük</w:t>
      </w:r>
      <w:r>
        <w:rPr>
          <w:rFonts w:ascii="Times New Roman" w:cs="Times New Roman" w:eastAsia="Times New Roman" w:hAnsi="Times New Roman"/>
          <w:b w:val="false"/>
          <w:bCs w:val="false"/>
          <w:i w:val="false"/>
          <w:iCs w:val="false"/>
          <w:sz w:val="24"/>
          <w:szCs w:val="24"/>
        </w:rPr>
        <w:t xml:space="preserve"> sonucu doğurur. Bu durumda taraflar, geçerli bir satış vaadi sözleşmesine dayanıyormuş gibi aynen ifa, tapu tescili ve sözleşmeye aykırılığa dayalı pek çok talebi ileri süremezler. En büyük hak kaybı da burada gündeme gelir: Kişi, taşınmazı fiilen satın aldığını düşünse bile, elindeki adi yazılı belge ona kural olarak tescil davası açma gücü vermez. Bu durum, uygulamada en ağır mağduriyet sebeplerinden biridir.</w:t>
      </w:r>
    </w:p>
    <w:p>
      <w:pPr>
        <w:spacing w:after="200" w:before="0" w:line="320" w:lineRule="auto"/>
        <w:ind w:firstLine="567"/>
        <w:jc w:val="both"/>
      </w:pPr>
      <w:r>
        <w:rPr>
          <w:rFonts w:ascii="Times New Roman" w:cs="Times New Roman" w:eastAsia="Times New Roman" w:hAnsi="Times New Roman"/>
          <w:sz w:val="24"/>
          <w:szCs w:val="24"/>
        </w:rPr>
        <w:t xml:space="preserve">Şekle aykırılığın bir diğer önemli sonucu ise sözleşmede yer alan bazı yan kayıtların da işlevsizleşebilmesidir. Örneğin geçersiz asıl sözleşmeye bağlı cezai şart hükümleri veya sırf sözleşmeye aykırılık mantığıyla istenen bazı ifa kalemleri de tartışmalı hâle gelir. Bu nedenle tarafların “en azından sözleşmede yazıyor” düşüncesiyle hareket etmesi çoğu zaman yeterli olmaz. Yargısal bakış öncelikle sözleşmenin şeklen geçerli olup olmadığına odaklanır; geçersizlik tespiti yapılması hâlinde talepler çoğunlukla sebepsiz zenginleşme ve denkleştirici adalet eksenine kayar.</w:t>
      </w:r>
    </w:p>
    <w:p>
      <w:pPr>
        <w:keepNext/>
        <w:spacing w:after="240" w:before="480" w:line="320" w:lineRule="auto"/>
        <w:jc w:val="left"/>
      </w:pPr>
      <w:r>
        <w:rPr>
          <w:rFonts w:ascii="Times New Roman" w:cs="Times New Roman" w:eastAsia="Times New Roman" w:hAnsi="Times New Roman"/>
          <w:b/>
          <w:bCs/>
          <w:color w:val="000000"/>
          <w:sz w:val="28"/>
          <w:szCs w:val="28"/>
        </w:rPr>
        <w:t xml:space="preserve">IX. Adi Yazılı Sözleşmeyle Talep Edilebilecek Kalemler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Adi yazılı taşınmaz satış vaadi veya harici satış sözleşmesi kural olarak geçersiz olmakla birlikte, bu durum hiçbir talep ileri sürülemeyeceği anlamına gelmemektedir. En tipik talep, </w:t>
      </w:r>
      <w:r>
        <w:rPr>
          <w:rFonts w:ascii="Times New Roman" w:cs="Times New Roman" w:eastAsia="Times New Roman" w:hAnsi="Times New Roman"/>
          <w:b/>
          <w:bCs/>
          <w:i w:val="false"/>
          <w:iCs w:val="false"/>
          <w:sz w:val="24"/>
          <w:szCs w:val="24"/>
        </w:rPr>
        <w:t xml:space="preserve">ödenen bedelin iadesi</w:t>
      </w:r>
      <w:r>
        <w:rPr>
          <w:rFonts w:ascii="Times New Roman" w:cs="Times New Roman" w:eastAsia="Times New Roman" w:hAnsi="Times New Roman"/>
          <w:b w:val="false"/>
          <w:bCs w:val="false"/>
          <w:i w:val="false"/>
          <w:iCs w:val="false"/>
          <w:sz w:val="24"/>
          <w:szCs w:val="24"/>
        </w:rPr>
        <w:t xml:space="preserve"> talebidir. Yargıtay kararlarında, geçersiz harici taşınmaz satışı nedeniyle satıcıya verilen bedelin, sebepsiz zenginleşme hükümleri çerçevesinde geri istenebileceği kabul edilmektedir. Hatta yerleşik içtihatta, sadece nominal bedelin değil; ifanın imkânsız hâle geldiği tarihteki alım gücüne göre denkleştirici adalet ilkesiyle hesap yapılması gerektiği belirtilmektedir.</w:t>
      </w:r>
    </w:p>
    <w:p>
      <w:pPr>
        <w:spacing w:after="200" w:before="0" w:line="320" w:lineRule="auto"/>
        <w:ind w:firstLine="567"/>
        <w:jc w:val="both"/>
      </w:pPr>
      <w:r>
        <w:rPr>
          <w:rFonts w:ascii="Times New Roman" w:cs="Times New Roman" w:eastAsia="Times New Roman" w:hAnsi="Times New Roman"/>
          <w:sz w:val="24"/>
          <w:szCs w:val="24"/>
        </w:rPr>
        <w:t xml:space="preserve">Bunların yanı sıra olayın niteliğine göre yapılan zorunlu ve faydalı masraflar, sebepsiz zenginleşme kapsamındaki iade talepleri; ayrıca işgal, kullanım, yapı veya iyileştirme nedeniyle doğan kalemler de gündeme gelebilir. Ancak bunların hiçbiri otomatik olarak hüküm altına alınmaz; gerçekten kimin ne ölçüde zenginleştiği ve karşı tarafın malvarlığında hangi artışın meydana geldiği ayrıca ispat edilmelidir. Adi yazılı sözleşme; çoğu zaman tescil ve aynen ifa kapısını kapatmakla birlikte, bedel iadesi ve iade yanlısı parasal talepler bakımından bir başlangıç noktası oluşturur.</w:t>
      </w:r>
    </w:p>
    <w:p>
      <w:pPr>
        <w:spacing w:after="200" w:before="0" w:line="320" w:lineRule="auto"/>
        <w:ind w:firstLine="567"/>
        <w:jc w:val="both"/>
      </w:pPr>
      <w:r>
        <w:rPr>
          <w:rFonts w:ascii="Times New Roman" w:cs="Times New Roman" w:eastAsia="Times New Roman" w:hAnsi="Times New Roman"/>
          <w:sz w:val="24"/>
          <w:szCs w:val="24"/>
        </w:rPr>
        <w:t xml:space="preserve">Adi yazılı taşınmaz satışına ilişkin sözleşmelerde talep edilebilecek kalemler somut olaya göre değişmekle birlikte, uygulamada en sık ileri sürülen talepler şunlardır: ödenen satış bedelinin iadesi, kapora veya peşinatın geri verilmesi, sebepsiz zenginleşme kapsamında alacak talepleri, yapılan zorunlu ve faydalı masrafların iadesi, taşınmaz üzerinde gerçekleştirilen iyileştirmeler nedeniyle oluşan değer artışı bedeli ve olayın özelliklerine göre faiz talepleri.</w:t>
      </w:r>
    </w:p>
    <w:p>
      <w:pPr>
        <w:spacing w:after="200" w:before="0" w:line="320" w:lineRule="auto"/>
        <w:ind w:firstLine="567"/>
        <w:jc w:val="both"/>
      </w:pPr>
      <w:r>
        <w:rPr>
          <w:rFonts w:ascii="Times New Roman" w:cs="Times New Roman" w:eastAsia="Times New Roman" w:hAnsi="Times New Roman"/>
          <w:sz w:val="24"/>
          <w:szCs w:val="24"/>
        </w:rPr>
        <w:t xml:space="preserve">Özellikle Yargıtay uygulamasında, geçersiz taşınmaz satış sözleşmelerinde denkleştirici adalet ilkesi çerçevesinde yalnızca nominal bedelin değil; bedelin ifa tarihindeki alım gücüne göre güncellenmiş değerinin iadesi gerektiği kabul edilmektedir. Bu kapsamda enflasyon, paranın değer kaybı ve tarafların ekonomik durumları dikkate alınarak hesaplama yapılmaktadır.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İçtihadı Birleştirme Büyük Genel Kurulu’nun 30.09.1988 tarih ve 1987/2 E., 1988/2 K. sayılı kararında; geçersiz taşınmaz satışı sebebiyle ödenmiş bulunan bedelin iadesinde nominal değerin değil, denkleştirici adalet ilkesi gereğince paranın alım gücündeki değişimin dikkate alınması ve buna göre uyarlama yapılması gerektiği esası kabul edilmiştir.</w:t>
      </w:r>
    </w:p>
    <w:p>
      <w:pPr>
        <w:spacing w:after="200" w:before="0" w:line="320" w:lineRule="auto"/>
        <w:ind w:firstLine="567"/>
        <w:jc w:val="both"/>
      </w:pPr>
      <w:r>
        <w:rPr>
          <w:rFonts w:ascii="Times New Roman" w:cs="Times New Roman" w:eastAsia="Times New Roman" w:hAnsi="Times New Roman"/>
          <w:sz w:val="24"/>
          <w:szCs w:val="24"/>
        </w:rPr>
        <w:t xml:space="preserve">Önemle belirtmek gerekir ki, adi yazılı sözleşmeye dayanılarak kural olarak tapu iptal ve tescil talep edilemez. Aynı şekilde aynen ifa talebi de mümkün değildir. Bu nedenle bu tür sözleşmelerde dava stratejisi; sözleşmeye aykırılık değil, çoğunlukla sebepsiz zenginleşme ve denkleştirici adalet esasına dayandırılmaktadır.</w:t>
      </w:r>
    </w:p>
    <w:p>
      <w:pPr>
        <w:keepNext/>
        <w:spacing w:after="240" w:before="480" w:line="320" w:lineRule="auto"/>
        <w:jc w:val="left"/>
      </w:pPr>
      <w:r>
        <w:rPr>
          <w:rFonts w:ascii="Times New Roman" w:cs="Times New Roman" w:eastAsia="Times New Roman" w:hAnsi="Times New Roman"/>
          <w:b/>
          <w:bCs/>
          <w:color w:val="000000"/>
          <w:sz w:val="28"/>
          <w:szCs w:val="28"/>
        </w:rPr>
        <w:t xml:space="preserve">X. Adi Yazılı Taşınmaz Satış Vaadi ile Noter Satış Vaadinin Karşılaştırılması</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Noterde düzenleme şeklinde yapılan taşınmaz satış vaadi sözleşmesi ile adi yazılı sözleşme arasındaki en büyük fark, </w:t>
      </w:r>
      <w:r>
        <w:rPr>
          <w:rFonts w:ascii="Times New Roman" w:cs="Times New Roman" w:eastAsia="Times New Roman" w:hAnsi="Times New Roman"/>
          <w:b/>
          <w:bCs/>
          <w:i w:val="false"/>
          <w:iCs w:val="false"/>
          <w:sz w:val="24"/>
          <w:szCs w:val="24"/>
        </w:rPr>
        <w:t xml:space="preserve">dava aşamasında talep repertuarının</w:t>
      </w:r>
      <w:r>
        <w:rPr>
          <w:rFonts w:ascii="Times New Roman" w:cs="Times New Roman" w:eastAsia="Times New Roman" w:hAnsi="Times New Roman"/>
          <w:b w:val="false"/>
          <w:bCs w:val="false"/>
          <w:i w:val="false"/>
          <w:iCs w:val="false"/>
          <w:sz w:val="24"/>
          <w:szCs w:val="24"/>
        </w:rPr>
        <w:t xml:space="preserve"> tamamen değişmesidir. Geçerli noter satış vaadinde alıcı; koşulları varsa tapu iptal ve tescil, aynen ifa, gecikme tazminatı, kira kaybı, sözleşmeden dönme ve uygun koşullarda bazı yan talepleri birlikte ileri sürebilir. Buna karşılık adi yazılı sözleşmede kural olarak tescil ve aynen ifa yolu kapalıdır; ağırlık bedel iadesi, sebepsiz zenginleşme, denkleştirici adalet ve somut olayın niteliğine göre sınırlı bazı parasal kalemlere kayar.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İkinci fark </w:t>
      </w:r>
      <w:r>
        <w:rPr>
          <w:rFonts w:ascii="Times New Roman" w:cs="Times New Roman" w:eastAsia="Times New Roman" w:hAnsi="Times New Roman"/>
          <w:b/>
          <w:bCs/>
          <w:i w:val="false"/>
          <w:iCs w:val="false"/>
          <w:sz w:val="24"/>
          <w:szCs w:val="24"/>
        </w:rPr>
        <w:t xml:space="preserve">şerh</w:t>
      </w:r>
      <w:r>
        <w:rPr>
          <w:rFonts w:ascii="Times New Roman" w:cs="Times New Roman" w:eastAsia="Times New Roman" w:hAnsi="Times New Roman"/>
          <w:b w:val="false"/>
          <w:bCs w:val="false"/>
          <w:i w:val="false"/>
          <w:iCs w:val="false"/>
          <w:sz w:val="24"/>
          <w:szCs w:val="24"/>
        </w:rPr>
        <w:t xml:space="preserve"> meselesidir. Noterde düzenlenen satış vaadi sözleşmesi tapuya şerh edilebilir; bu durum hakkın gücünü artırır ve üçüncü kişilere karşı ileri sürülebilirlik bakımından ciddi avantaj sağlar. Adi yazılı sözleşmede ise böyle bir şerh imkânı bulunmamaktadır. Dolayısıyla üçüncü kişiye devir hâlinde, noter vaadinde belli koşullarda hâlâ mücadele edilebilirken; adi yazılı ilişkide davacının hukuki pozisyonu çok daha zayıf kalmaktadır.</w:t>
      </w:r>
    </w:p>
    <w:p>
      <w:pPr>
        <w:spacing w:after="200" w:before="0" w:line="320" w:lineRule="auto"/>
        <w:ind w:firstLine="567"/>
        <w:jc w:val="both"/>
      </w:pPr>
      <w:r>
        <w:rPr>
          <w:rFonts w:ascii="Times New Roman" w:cs="Times New Roman" w:eastAsia="Times New Roman" w:hAnsi="Times New Roman"/>
          <w:sz w:val="24"/>
          <w:szCs w:val="24"/>
        </w:rPr>
        <w:t xml:space="preserve">Üçüncü fark ispat ve hukuki nitelendirme alanındadır. Noter sözleşmesinde davacı “geçerli bir sözleşmem var, ifa edilmedi” söylemiyle hareket eder. Adi yazılı sözleşmede ise çoğu zaman “geçersiz bir ilişki içinde para verdim, karşı taraf sebepsiz zenginleşti” söylemine geçmek gerekir. Bu fark; faiz, zamanaşımı, zarar hesabı ve dava türünün belirlenmesi bakımından son derece önemlidir.</w:t>
      </w:r>
    </w:p>
    <w:p>
      <w:pPr>
        <w:spacing w:after="200" w:before="0" w:line="320" w:lineRule="auto"/>
        <w:ind w:firstLine="567"/>
        <w:jc w:val="both"/>
      </w:pPr>
      <w:r>
        <w:rPr>
          <w:rFonts w:ascii="Times New Roman" w:cs="Times New Roman" w:eastAsia="Times New Roman" w:hAnsi="Times New Roman"/>
          <w:sz w:val="24"/>
          <w:szCs w:val="24"/>
        </w:rPr>
        <w:t xml:space="preserve">Dava aşamasında talepler bakımından iki sözleşme türü arasındaki fark son derece belirgindir. Noterde düzenleme şeklinde yapılmış geçerli bir satış vaadi sözleşmesine dayanarak açılan davalarda davacı; tapu iptal ve tescil, aynen ifa, gecikme tazminatı, kira kaybı, cezai şart ve uygun koşullarda sözleşmeden dönme gibi geniş bir talep yelpazesine sahiptir. Buna karşılık adi yazılı sözleşmelere dayanan davalarda bu taleplerin büyük bölümü ileri sürülemez. Bu tür davalar çoğunlukla bedel iadesi, sebepsiz zenginleşme, denkleştirici adalet ve sınırlı bazı tazminat kalemleri ile sınırlı kalır. Dolayısıyla sözleşmenin şekli; yalnızca geçerlilik meselesi değil, aynı zamanda dava stratejisini ve elde edilebilecek hukuki sonuçları doğrudan belirleyen temel bir unsurdur.</w:t>
      </w:r>
    </w:p>
    <w:p>
      <w:pPr>
        <w:spacing w:after="200" w:before="0" w:line="320" w:lineRule="auto"/>
        <w:ind w:firstLine="567"/>
        <w:jc w:val="both"/>
      </w:pPr>
      <w:r>
        <w:rPr>
          <w:rFonts w:ascii="Times New Roman" w:cs="Times New Roman" w:eastAsia="Times New Roman" w:hAnsi="Times New Roman"/>
          <w:sz w:val="24"/>
          <w:szCs w:val="24"/>
        </w:rPr>
        <w:t xml:space="preserve">Bu nedenle uygulamada en sık yapılan hatalardan biri, adi yazılı bir sözleşmeye dayanılarak tapu iptal ve tescil talebinde bulunulmasıdır. Bu tür talepler kural olarak reddedilmekte ve davacının ciddi hak kayıplarına uğramasına yol açabilmektedir.</w:t>
      </w:r>
    </w:p>
    <w:p>
      <w:pPr>
        <w:keepNext/>
        <w:spacing w:after="240" w:before="480" w:line="320" w:lineRule="auto"/>
        <w:jc w:val="left"/>
      </w:pPr>
      <w:r>
        <w:rPr>
          <w:rFonts w:ascii="Times New Roman" w:cs="Times New Roman" w:eastAsia="Times New Roman" w:hAnsi="Times New Roman"/>
          <w:b/>
          <w:bCs/>
          <w:color w:val="000000"/>
          <w:sz w:val="28"/>
          <w:szCs w:val="28"/>
        </w:rPr>
        <w:t xml:space="preserve">XI. Adi Yazılı Sözleşme Hangi Şartlarda “Resmî Gibi” İşlem Görebilir?</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Bu başlıkta dikkatle kurulması gereken esas cümle şudur: </w:t>
      </w:r>
      <w:r>
        <w:rPr>
          <w:rFonts w:ascii="Times New Roman" w:cs="Times New Roman" w:eastAsia="Times New Roman" w:hAnsi="Times New Roman"/>
          <w:b/>
          <w:bCs/>
          <w:i w:val="false"/>
          <w:iCs w:val="false"/>
          <w:sz w:val="24"/>
          <w:szCs w:val="24"/>
        </w:rPr>
        <w:t xml:space="preserve">Kural olarak adi yazılı taşınmaz satış vaadi sözleşmesi, resmî şekilde düzenlenmiş bir sözleşme gibi işlem görmez</w:t>
      </w:r>
      <w:r>
        <w:rPr>
          <w:rFonts w:ascii="Times New Roman" w:cs="Times New Roman" w:eastAsia="Times New Roman" w:hAnsi="Times New Roman"/>
          <w:b w:val="false"/>
          <w:bCs w:val="false"/>
          <w:i w:val="false"/>
          <w:iCs w:val="false"/>
          <w:sz w:val="24"/>
          <w:szCs w:val="24"/>
        </w:rPr>
        <w:t xml:space="preserve">. Genel ilke budur. Ancak Yargıtay içtihatlarında, oldukça istisnai bazı durumlarda şekil eksikliğinin ileri sürülmesinin </w:t>
      </w:r>
      <w:r>
        <w:rPr>
          <w:rFonts w:ascii="Times New Roman" w:cs="Times New Roman" w:eastAsia="Times New Roman" w:hAnsi="Times New Roman"/>
          <w:b/>
          <w:bCs/>
          <w:i w:val="false"/>
          <w:iCs w:val="false"/>
          <w:sz w:val="24"/>
          <w:szCs w:val="24"/>
        </w:rPr>
        <w:t xml:space="preserve">TMK m. 2 anlamında hakkın kötüye kullanılması</w:t>
      </w:r>
      <w:r>
        <w:rPr>
          <w:rFonts w:ascii="Times New Roman" w:cs="Times New Roman" w:eastAsia="Times New Roman" w:hAnsi="Times New Roman"/>
          <w:b w:val="false"/>
          <w:bCs w:val="false"/>
          <w:i w:val="false"/>
          <w:iCs w:val="false"/>
          <w:sz w:val="24"/>
          <w:szCs w:val="24"/>
        </w:rPr>
        <w:t xml:space="preserve"> olarak nitelendirilebileceği kabul edilmektedir. Özellikle taraflardan birinin edimini tamamen veya reddi mümkün olmayacak ölçüde yerine getirdiği; karşı tarafın ise salt şekil noksanına sığınarak ağır bir adaletsizlik yaratmaya çalıştığı hâllerde bu tartışma gündeme gelmektedir. 30.09.1988 tarihli İçtihadı Birleştirme Kararı da taşınmaz satışında şekil ile hakkın kötüye kullanılması yasağının çatıştığı hâllerde TMK m. 2’nin istisnai rolünü kabul eden temel referanslardan biridir.</w:t>
      </w:r>
    </w:p>
    <w:p>
      <w:pPr>
        <w:spacing w:after="200" w:before="0" w:line="320" w:lineRule="auto"/>
        <w:ind w:firstLine="567"/>
        <w:jc w:val="both"/>
      </w:pPr>
      <w:r>
        <w:rPr>
          <w:rFonts w:ascii="Times New Roman" w:cs="Times New Roman" w:eastAsia="Times New Roman" w:hAnsi="Times New Roman"/>
          <w:sz w:val="24"/>
          <w:szCs w:val="24"/>
        </w:rPr>
        <w:t xml:space="preserve">Ancak bu durum son derece istisnai nitelikte olup “adi yazılı sözleşmenin de çoğu zaman geçerli sayılabileceği” biçiminde okunmamalıdır. Uygulamada bu kapı dar yorumlanmaktadır. Başka bir anlatımla, adi yazılı sözleşmenin resmî sözleşme gibi sonuç doğurması genel bir kural değil; açık adaletsizlik ve hakkın kötüye kullanılması niteliğindeki istisnai olaylara bağlı, dar kapsamlı bir hâldir. Bu sebeple güvenli hukuki yol her zaman noterde düzenleme şeklinde sözleşme kurmak ve imkân varsa tapuya şerh vermektir. Sırf bu istisnalara güvenerek işlem yapmak son derece risklidir.</w:t>
      </w:r>
    </w:p>
    <w:p>
      <w:pPr>
        <w:pBdr>
          <w:left w:val="single" w:color="000000" w:sz="18" w:space="10"/>
        </w:pBdr>
        <w:spacing w:after="260" w:before="120" w:line="300" w:lineRule="auto"/>
        <w:ind w:left="567" w:right="283"/>
        <w:jc w:val="both"/>
      </w:pPr>
      <w:r>
        <w:rPr>
          <w:rFonts w:ascii="Times New Roman" w:cs="Times New Roman" w:eastAsia="Times New Roman" w:hAnsi="Times New Roman"/>
          <w:b/>
          <w:bCs/>
          <w:color w:val="000000"/>
          <w:sz w:val="22"/>
          <w:szCs w:val="22"/>
        </w:rPr>
        <w:t xml:space="preserve">İlgili Yargıtay İçtihadı: </w:t>
      </w:r>
      <w:r>
        <w:rPr>
          <w:rFonts w:ascii="Times New Roman" w:cs="Times New Roman" w:eastAsia="Times New Roman" w:hAnsi="Times New Roman"/>
          <w:i/>
          <w:iCs/>
          <w:color w:val="000000"/>
          <w:sz w:val="22"/>
          <w:szCs w:val="22"/>
        </w:rPr>
        <w:t xml:space="preserve">Yargıtay İçtihadı Birleştirme Büyük Genel Kurulu’nun 30.09.1988 tarih ve 1987/2 E., 1988/2 K. sayılı kararında; taşınmaz satışında şekil şartına aykırılığın kural olarak sözleşmenin geçersizliği sonucunu doğuracağı, ancak taraflardan biri edimini tamamen yerine getirmişken karşı tarafın salt şekil eksikliğine sığınarak ağır bir hakkaniyetsizliğe yol açması hâlinde, MK m. 2 uyarınca şekle aykırılık def’inin dinlenmeyebileceği esasına yer verilmiştir.</w:t>
      </w:r>
    </w:p>
    <w:p>
      <w:pPr>
        <w:keepNext/>
        <w:spacing w:after="240" w:before="480" w:line="320" w:lineRule="auto"/>
        <w:jc w:val="left"/>
      </w:pPr>
      <w:r>
        <w:rPr>
          <w:rFonts w:ascii="Times New Roman" w:cs="Times New Roman" w:eastAsia="Times New Roman" w:hAnsi="Times New Roman"/>
          <w:b/>
          <w:bCs/>
          <w:color w:val="000000"/>
          <w:sz w:val="28"/>
          <w:szCs w:val="28"/>
        </w:rPr>
        <w:t xml:space="preserve">Sonuç</w:t>
      </w:r>
    </w:p>
    <w:p>
      <w:pPr>
        <w:spacing w:after="200" w:before="0" w:line="320" w:lineRule="auto"/>
        <w:ind w:firstLine="567"/>
        <w:jc w:val="both"/>
      </w:pPr>
      <w:r>
        <w:rPr>
          <w:rFonts w:ascii="Times New Roman" w:cs="Times New Roman" w:eastAsia="Times New Roman" w:hAnsi="Times New Roman"/>
          <w:b w:val="false"/>
          <w:bCs w:val="false"/>
          <w:i w:val="false"/>
          <w:iCs w:val="false"/>
          <w:sz w:val="24"/>
          <w:szCs w:val="24"/>
        </w:rPr>
        <w:t xml:space="preserve">Gayrimenkul davalarında, özellikle taşınmaz satış vaadi sözleşmelerinden doğan uyuşmazlıklar; sözleşmenin </w:t>
      </w:r>
      <w:r>
        <w:rPr>
          <w:rFonts w:ascii="Times New Roman" w:cs="Times New Roman" w:eastAsia="Times New Roman" w:hAnsi="Times New Roman"/>
          <w:b/>
          <w:bCs/>
          <w:i w:val="false"/>
          <w:iCs w:val="false"/>
          <w:sz w:val="24"/>
          <w:szCs w:val="24"/>
        </w:rPr>
        <w:t xml:space="preserve">geçerliliği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şekli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ifa kabiliyeti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şerh durumu</w:t>
      </w:r>
      <w:r>
        <w:rPr>
          <w:rFonts w:ascii="Times New Roman" w:cs="Times New Roman" w:eastAsia="Times New Roman" w:hAnsi="Times New Roman"/>
          <w:b w:val="false"/>
          <w:bCs w:val="false"/>
          <w:i w:val="false"/>
          <w:iCs w:val="false"/>
          <w:sz w:val="24"/>
          <w:szCs w:val="24"/>
        </w:rPr>
        <w:t xml:space="preserve"> ve </w:t>
      </w:r>
      <w:r>
        <w:rPr>
          <w:rFonts w:ascii="Times New Roman" w:cs="Times New Roman" w:eastAsia="Times New Roman" w:hAnsi="Times New Roman"/>
          <w:b/>
          <w:bCs/>
          <w:i w:val="false"/>
          <w:iCs w:val="false"/>
          <w:sz w:val="24"/>
          <w:szCs w:val="24"/>
        </w:rPr>
        <w:t xml:space="preserve">borçlunun temerrüdü</w:t>
      </w:r>
      <w:r>
        <w:rPr>
          <w:rFonts w:ascii="Times New Roman" w:cs="Times New Roman" w:eastAsia="Times New Roman" w:hAnsi="Times New Roman"/>
          <w:b w:val="false"/>
          <w:bCs w:val="false"/>
          <w:i w:val="false"/>
          <w:iCs w:val="false"/>
          <w:sz w:val="24"/>
          <w:szCs w:val="24"/>
        </w:rPr>
        <w:t xml:space="preserve"> ekseninde değerlendirilmelidir. Noterde düzenleme şeklinde yapılmış bir satış vaadi sözleşmesi; alacaklıya, başta tapu iptal ve tescil davası olmak üzere çok daha güçlü ve geniş bir talep alanı sağlar. Buna karşılık adi yazılı sözleşmelerde haklar ciddi şekilde daralır ve uyuşmazlık çoğu zaman bedel iadesi ile sebepsiz zenginleşme çizgisine sıkışır.</w:t>
      </w:r>
    </w:p>
    <w:p>
      <w:pPr>
        <w:spacing w:after="200" w:before="0" w:line="320" w:lineRule="auto"/>
        <w:ind w:firstLine="567"/>
        <w:jc w:val="both"/>
      </w:pPr>
      <w:r>
        <w:rPr>
          <w:rFonts w:ascii="Times New Roman" w:cs="Times New Roman" w:eastAsia="Times New Roman" w:hAnsi="Times New Roman"/>
          <w:sz w:val="24"/>
          <w:szCs w:val="24"/>
        </w:rPr>
        <w:t xml:space="preserve">Bu nedenle taşınmaz satış vaadi ilişkilerinde verilebilecek en kritik tavsiye şudur: Sözleşme mutlaka noterde, düzenleme şeklinde kurulmalı; taşınmaz, taraf ve bedel unsurları açık biçimde gösterilmeli; imkân varsa tapuya şerh verilmelidir. Dava aşamasında ise TBK m. 125’teki seçimlik haklar, teslim gecikmesi nedeniyle kira kaybı, sözleşmeden dönme, bedel iadesi ve tescil talepleri olayın niteliğine göre doğru şekilde ayrıştırılmalıdır. Aksi takdirde haklı görünen bir uyuşmazlık dahi yalnızca yanlış talep veya şekil eksikliği nedeniyle kaybedilebilmektedir.</w:t>
      </w:r>
    </w:p>
    <w:p>
      <w:pPr>
        <w:spacing w:after="200" w:before="0" w:line="320" w:lineRule="auto"/>
        <w:ind w:firstLine="567"/>
        <w:jc w:val="both"/>
      </w:pPr>
      <w:r>
        <w:rPr>
          <w:rFonts w:ascii="Times New Roman" w:cs="Times New Roman" w:eastAsia="Times New Roman" w:hAnsi="Times New Roman"/>
          <w:sz w:val="24"/>
          <w:szCs w:val="24"/>
        </w:rPr>
        <w:t xml:space="preserve">Sonuç itibarıyla taşınmaz satış vaadi sözleşmeleri ve buna bağlı uyuşmazlıklar; gayrimenkul hukukunun, etkin ve sonuç alıcı bir hukuki temsilin ancak detaylı bir mevzuat hâkimiyeti ile Yargıtay içtihatlarının bütünsel okunmasıyla mümkün olabileceği nadir alanlarından biridir. Her somut olayın kendine özgü koşullarının ayrıntılı şekilde incelenmesi, doğru dava ve talep stratejisinin belirlenmesi açısından zorunludur.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Gayrimenkul Davaları ve Taşınmaz Satış Vaadi Sözleşmesinin İhlalinden Doğan Davalar</dc:title>
  <dc:creator>Av. Necmettin Barman</dc:creator>
  <dc:description>Kurumsal makale</dc:description>
  <cp:lastModifiedBy>Un-named</cp:lastModifiedBy>
  <cp:revision>1</cp:revision>
  <dcterms:created xsi:type="dcterms:W3CDTF">2026-05-13T14:25:56.513Z</dcterms:created>
  <dcterms:modified xsi:type="dcterms:W3CDTF">2026-05-13T14:25:56.530Z</dcterms:modified>
</cp:coreProperties>
</file>

<file path=docProps/custom.xml><?xml version="1.0" encoding="utf-8"?>
<Properties xmlns="http://schemas.openxmlformats.org/officeDocument/2006/custom-properties" xmlns:vt="http://schemas.openxmlformats.org/officeDocument/2006/docPropsVTypes"/>
</file>