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r>
        <w:t xml:space="preserve"/>
      </w:r>
    </w:p>
    <w:p>
      <w:pPr>
        <w:spacing w:after="240" w:before="0"/>
        <w:jc w:val="center"/>
      </w:pPr>
      <w:r>
        <w:rPr>
          <w:rFonts w:ascii="Arial" w:cs="Arial" w:eastAsia="Arial" w:hAnsi="Arial"/>
          <w:b/>
          <w:bCs/>
          <w:color w:val="000000"/>
          <w:sz w:val="56"/>
          <w:szCs w:val="56"/>
        </w:rPr>
        <w:t xml:space="preserve">3065 SAYILI KDV KANUNU</w:t>
      </w:r>
    </w:p>
    <w:p>
      <w:pPr>
        <w:spacing w:after="240" w:before="0"/>
        <w:jc w:val="center"/>
      </w:pPr>
      <w:r>
        <w:rPr>
          <w:rFonts w:ascii="Arial" w:cs="Arial" w:eastAsia="Arial" w:hAnsi="Arial"/>
          <w:b w:val="false"/>
          <w:bCs w:val="false"/>
          <w:color w:val="222222"/>
          <w:sz w:val="30"/>
          <w:szCs w:val="30"/>
        </w:rPr>
        <w:t xml:space="preserve">13/i Maddesi Kapsamında</w:t>
      </w:r>
    </w:p>
    <w:p>
      <w:pPr>
        <w:spacing w:after="480" w:before="0"/>
        <w:jc w:val="center"/>
      </w:pPr>
      <w:r>
        <w:rPr>
          <w:rFonts w:ascii="Arial" w:cs="Arial" w:eastAsia="Arial" w:hAnsi="Arial"/>
          <w:b/>
          <w:bCs/>
          <w:color w:val="000000"/>
          <w:sz w:val="34"/>
          <w:szCs w:val="34"/>
        </w:rPr>
        <w:t xml:space="preserve">TAŞINMAZ TESLİMLERİNDE KDV İSTİSNASI</w:t>
      </w:r>
    </w:p>
    <w:p>
      <w:pPr>
        <w:pBdr>
          <w:top w:val="single" w:color="888888" w:sz="4" w:space="1"/>
        </w:pBdr>
        <w:spacing w:after="240" w:before="0"/>
        <w:jc w:val="center"/>
      </w:pPr>
      <w:r>
        <w:rPr>
          <w:rFonts w:ascii="Arial" w:cs="Arial" w:eastAsia="Arial" w:hAnsi="Arial"/>
          <w:sz w:val="22"/>
          <w:szCs w:val="22"/>
        </w:rPr>
        <w:t xml:space="preserve"/>
      </w:r>
    </w:p>
    <w:p>
      <w:pPr>
        <w:spacing w:after="320" w:before="0"/>
        <w:jc w:val="center"/>
      </w:pPr>
      <w:r>
        <w:rPr>
          <w:rFonts w:ascii="Arial" w:cs="Arial" w:eastAsia="Arial" w:hAnsi="Arial"/>
          <w:i/>
          <w:iCs/>
          <w:color w:val="555555"/>
          <w:sz w:val="22"/>
          <w:szCs w:val="22"/>
        </w:rPr>
        <w:t xml:space="preserve">Yabancı Yatırımcılar ve Yurt Dışında Yerleşik Türk Vatandaşları İçin Kapsamlı Hukuki Rehber</w:t>
      </w:r>
    </w:p>
    <w:p>
      <w:pPr>
        <w:spacing w:after="100" w:before="0"/>
        <w:jc w:val="center"/>
      </w:pPr>
      <w:r>
        <w:rPr>
          <w:rFonts w:ascii="Arial" w:cs="Arial" w:eastAsia="Arial" w:hAnsi="Arial"/>
          <w:b/>
          <w:bCs/>
          <w:color w:val="000000"/>
          <w:sz w:val="28"/>
          <w:szCs w:val="28"/>
        </w:rPr>
        <w:t xml:space="preserve">Necmettin Barman Hukuk Bürosu</w:t>
      </w:r>
    </w:p>
    <w:p>
      <w:pPr>
        <w:spacing w:after="0" w:before="0"/>
        <w:jc w:val="center"/>
      </w:pPr>
      <w:r>
        <w:rPr>
          <w:rFonts w:ascii="Arial" w:cs="Arial" w:eastAsia="Arial" w:hAnsi="Arial"/>
          <w:color w:val="555555"/>
          <w:sz w:val="22"/>
          <w:szCs w:val="22"/>
        </w:rPr>
        <w:t xml:space="preserve">İstanbul Barosu</w:t>
      </w:r>
    </w:p>
    <w:p>
      <w:pPr>
        <w:pageBreakBefore/>
      </w:pPr>
      <w:r>
        <w:br/>
      </w:r>
    </w:p>
    <w:p>
      <w:pPr>
        <w:spacing w:after="120" w:before="0"/>
        <w:jc w:val="center"/>
      </w:pPr>
      <w:r>
        <w:rPr>
          <w:rFonts w:ascii="Arial" w:cs="Arial" w:eastAsia="Arial" w:hAnsi="Arial"/>
          <w:b/>
          <w:bCs/>
          <w:color w:val="000000"/>
          <w:sz w:val="32"/>
          <w:szCs w:val="32"/>
        </w:rPr>
        <w:t xml:space="preserve">3065 Sayılı KDV Kanunu 13/i Maddesi Kapsamında</w:t>
      </w:r>
    </w:p>
    <w:p>
      <w:pPr>
        <w:spacing w:after="160" w:before="0"/>
        <w:jc w:val="center"/>
      </w:pPr>
      <w:r>
        <w:rPr>
          <w:rFonts w:ascii="Arial" w:cs="Arial" w:eastAsia="Arial" w:hAnsi="Arial"/>
          <w:b/>
          <w:bCs/>
          <w:color w:val="000000"/>
          <w:sz w:val="32"/>
          <w:szCs w:val="32"/>
        </w:rPr>
        <w:t xml:space="preserve">Taşınmaz Teslimlerinde KDV İstisnası</w:t>
      </w:r>
    </w:p>
    <w:p>
      <w:pPr>
        <w:pBdr>
          <w:bottom w:val="single" w:color="333333" w:sz="6" w:space="1"/>
        </w:pBdr>
        <w:spacing w:after="160" w:before="0"/>
      </w:pPr>
      <w:r>
        <w:t xml:space="preserve"/>
      </w:r>
    </w:p>
    <w:p>
      <w:pPr>
        <w:spacing w:after="80" w:before="80" w:line="320" w:lineRule="auto"/>
        <w:jc w:val="both"/>
      </w:pPr>
      <w:r>
        <w:rPr>
          <w:rFonts w:ascii="Arial" w:cs="Arial" w:eastAsia="Arial" w:hAnsi="Arial"/>
          <w:color w:val="222222"/>
          <w:sz w:val="22"/>
          <w:szCs w:val="22"/>
        </w:rPr>
        <w:t xml:space="preserve">Yabancı uyruklu gerçek kişiler ile yurt dışında yerleşik Türk vatandaşlarının Türkiye'de edindikleri konut ve iş yeri niteliğindeki taşınmazlarda, belirli koşulların sağlanması hâlinde 3065 sayılı Katma Değer Vergisi Kanunu'nun 13/i maddesi kapsamında katma değer vergisi istisnası uygulanmaktadır.</w:t>
      </w:r>
    </w:p>
    <w:p>
      <w:pPr>
        <w:spacing w:after="0" w:before="80"/>
      </w:pPr>
      <w:r>
        <w:t xml:space="preserve"/>
      </w:r>
    </w:p>
    <w:p>
      <w:pPr>
        <w:spacing w:after="80" w:before="80" w:line="320" w:lineRule="auto"/>
        <w:jc w:val="both"/>
      </w:pPr>
      <w:r>
        <w:rPr>
          <w:rFonts w:ascii="Arial" w:cs="Arial" w:eastAsia="Arial" w:hAnsi="Arial"/>
          <w:color w:val="222222"/>
          <w:sz w:val="22"/>
          <w:szCs w:val="22"/>
        </w:rPr>
        <w:t xml:space="preserve">Büromuz, bu istisnadan yararlanmak isteyen müvekkillerimizin tüm sürecini vekâleten yürütmekte; başvuru, yazışma ve belge temin işlemlerini eksiksiz tamamlayarak istisna kapsamında kullanılacak resmî yazıyı müvekkillerimize teslim etmektedir.</w:t>
      </w:r>
    </w:p>
    <w:p>
      <w:pPr>
        <w:spacing w:after="0" w:before="200"/>
      </w:pPr>
      <w:r>
        <w:t xml:space="preserve"/>
      </w:r>
    </w:p>
    <w:p>
      <w:pPr>
        <w:pStyle w:val="Heading1"/>
        <w:spacing w:after="120" w:before="480"/>
      </w:pPr>
      <w:r>
        <w:rPr>
          <w:rFonts w:ascii="Arial" w:cs="Arial" w:eastAsia="Arial" w:hAnsi="Arial"/>
          <w:b/>
          <w:bCs/>
          <w:color w:val="000000"/>
        </w:rPr>
        <w:t xml:space="preserve">I. Yasal Dayanak ve Kapsam</w:t>
      </w:r>
    </w:p>
    <w:p>
      <w:pPr>
        <w:pBdr>
          <w:bottom w:val="single" w:color="333333" w:sz="6" w:space="1"/>
        </w:pBdr>
        <w:spacing w:after="160" w:before="0"/>
      </w:pPr>
      <w:r>
        <w:t xml:space="preserve"/>
      </w:r>
    </w:p>
    <w:p>
      <w:pPr>
        <w:pStyle w:val="Heading2"/>
        <w:spacing w:after="100" w:before="320"/>
      </w:pPr>
      <w:r>
        <w:rPr>
          <w:rFonts w:ascii="Arial" w:cs="Arial" w:eastAsia="Arial" w:hAnsi="Arial"/>
          <w:b/>
          <w:bCs/>
          <w:color w:val="000000"/>
        </w:rPr>
        <w:t xml:space="preserve">1. Kanuni Düzenleme</w:t>
      </w:r>
    </w:p>
    <w:p>
      <w:pPr>
        <w:spacing w:after="80" w:before="80" w:line="320" w:lineRule="auto"/>
        <w:jc w:val="both"/>
      </w:pPr>
      <w:r>
        <w:rPr>
          <w:rFonts w:ascii="Arial" w:cs="Arial" w:eastAsia="Arial" w:hAnsi="Arial"/>
          <w:color w:val="222222"/>
          <w:sz w:val="22"/>
          <w:szCs w:val="22"/>
        </w:rPr>
        <w:t xml:space="preserve">3065 sayılı KDV Kanunu'nun 13/i maddesi uyarınca, aşağıdaki koşulların tamamının sağlanması hâlinde katma değer vergisi istisnası uygulanmaktadır:</w:t>
      </w:r>
    </w:p>
    <w:p>
      <w:pPr>
        <w:spacing w:after="0" w:before="8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Konut veya iş yeri olarak inşa edilen binaların ilk tesliminde,</w:t>
      </w:r>
    </w:p>
    <w:p>
      <w:pPr>
        <w:pStyle w:val="ListParagraph"/>
        <w:numPr>
          <w:ilvl w:val="0"/>
          <w:numId w:val="2"/>
        </w:numPr>
        <w:spacing w:after="60" w:before="60" w:line="300" w:lineRule="auto"/>
      </w:pPr>
      <w:r>
        <w:rPr>
          <w:rFonts w:ascii="Arial" w:cs="Arial" w:eastAsia="Arial" w:hAnsi="Arial"/>
          <w:color w:val="222222"/>
          <w:sz w:val="22"/>
          <w:szCs w:val="22"/>
        </w:rPr>
        <w:t xml:space="preserve">Bedelin döviz olarak Türkiye'ye getirilmesi kaydıyla,</w:t>
      </w:r>
    </w:p>
    <w:p>
      <w:pPr>
        <w:pStyle w:val="ListParagraph"/>
        <w:numPr>
          <w:ilvl w:val="0"/>
          <w:numId w:val="2"/>
        </w:numPr>
        <w:spacing w:after="60" w:before="60" w:line="300" w:lineRule="auto"/>
      </w:pPr>
      <w:r>
        <w:rPr>
          <w:rFonts w:ascii="Arial" w:cs="Arial" w:eastAsia="Arial" w:hAnsi="Arial"/>
          <w:color w:val="222222"/>
          <w:sz w:val="22"/>
          <w:szCs w:val="22"/>
        </w:rPr>
        <w:t xml:space="preserve">Türkiye'de yerleşik sayılmayan yabancı uyruklu gerçek kişilere,</w:t>
      </w:r>
    </w:p>
    <w:p>
      <w:pPr>
        <w:pStyle w:val="ListParagraph"/>
        <w:numPr>
          <w:ilvl w:val="0"/>
          <w:numId w:val="2"/>
        </w:numPr>
        <w:spacing w:after="60" w:before="60" w:line="300" w:lineRule="auto"/>
      </w:pPr>
      <w:r>
        <w:rPr>
          <w:rFonts w:ascii="Arial" w:cs="Arial" w:eastAsia="Arial" w:hAnsi="Arial"/>
          <w:color w:val="222222"/>
          <w:sz w:val="22"/>
          <w:szCs w:val="22"/>
        </w:rPr>
        <w:t xml:space="preserve">Çalışma veya oturma izni alarak altı aydan fazla yurt dışında yaşayan Türk vatandaşlarına.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20"/>
              <w:left w:type="dxa" w:w="240"/>
              <w:bottom w:type="dxa" w:w="120"/>
              <w:right w:type="dxa" w:w="240"/>
            </w:tcMar>
          </w:tcPr>
          <w:p>
            <w:pPr>
              <w:spacing w:after="0" w:before="0" w:line="300" w:lineRule="auto"/>
              <w:jc w:val="both"/>
            </w:pPr>
            <w:r>
              <w:rPr>
                <w:rFonts w:ascii="Arial" w:cs="Arial" w:eastAsia="Arial" w:hAnsi="Arial"/>
                <w:i/>
                <w:iCs/>
                <w:color w:val="222222"/>
                <w:sz w:val="21"/>
                <w:szCs w:val="21"/>
              </w:rPr>
              <w:t xml:space="preserve">Önemli Not: İstisna yalnızca ilk teslimlerde geçerlidir. İkinci el taşınmaz satışlarına uygulanmaz.</w:t>
            </w:r>
          </w:p>
        </w:tc>
      </w:tr>
    </w:tbl>
    <w:p>
      <w:pPr>
        <w:spacing w:after="0" w:before="200"/>
      </w:pPr>
      <w:r>
        <w:t xml:space="preserve"/>
      </w:r>
    </w:p>
    <w:p>
      <w:pPr>
        <w:pStyle w:val="Heading1"/>
        <w:spacing w:after="120" w:before="480"/>
      </w:pPr>
      <w:r>
        <w:rPr>
          <w:rFonts w:ascii="Arial" w:cs="Arial" w:eastAsia="Arial" w:hAnsi="Arial"/>
          <w:b/>
          <w:bCs/>
          <w:color w:val="000000"/>
        </w:rPr>
        <w:t xml:space="preserve">II. İstisnadan Yararlanabilecek Kişiler</w:t>
      </w:r>
    </w:p>
    <w:p>
      <w:pPr>
        <w:pBdr>
          <w:bottom w:val="single" w:color="333333" w:sz="6" w:space="1"/>
        </w:pBdr>
        <w:spacing w:after="160" w:before="0"/>
      </w:pPr>
      <w:r>
        <w:t xml:space="preserve"/>
      </w:r>
    </w:p>
    <w:p>
      <w:pPr>
        <w:pStyle w:val="Heading2"/>
        <w:spacing w:after="100" w:before="320"/>
      </w:pPr>
      <w:r>
        <w:rPr>
          <w:rFonts w:ascii="Arial" w:cs="Arial" w:eastAsia="Arial" w:hAnsi="Arial"/>
          <w:b/>
          <w:bCs/>
          <w:color w:val="000000"/>
        </w:rPr>
        <w:t xml:space="preserve">A. Yabancı Uyruklu Gerçek Kişiler</w:t>
      </w:r>
    </w:p>
    <w:p>
      <w:pPr>
        <w:spacing w:after="80" w:before="80" w:line="320" w:lineRule="auto"/>
        <w:jc w:val="both"/>
      </w:pPr>
      <w:r>
        <w:rPr>
          <w:rFonts w:ascii="Arial" w:cs="Arial" w:eastAsia="Arial" w:hAnsi="Arial"/>
          <w:color w:val="222222"/>
          <w:sz w:val="22"/>
          <w:szCs w:val="22"/>
        </w:rPr>
        <w:t xml:space="preserve">Aşağıdaki koşulların tamamını taşıyan yabancı uyruklu kişiler bu istisnadan yararlanabilir:</w:t>
      </w:r>
    </w:p>
    <w:p>
      <w:pPr>
        <w:spacing w:after="0" w:before="8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Türkiye'de yerleşik olmamak,</w:t>
      </w:r>
    </w:p>
    <w:p>
      <w:pPr>
        <w:pStyle w:val="ListParagraph"/>
        <w:numPr>
          <w:ilvl w:val="0"/>
          <w:numId w:val="2"/>
        </w:numPr>
        <w:spacing w:after="60" w:before="60" w:line="300" w:lineRule="auto"/>
      </w:pPr>
      <w:r>
        <w:rPr>
          <w:rFonts w:ascii="Arial" w:cs="Arial" w:eastAsia="Arial" w:hAnsi="Arial"/>
          <w:color w:val="222222"/>
          <w:sz w:val="22"/>
          <w:szCs w:val="22"/>
        </w:rPr>
        <w:t xml:space="preserve">Türkiye'de iş yeri ya da daimi temsilci aracılığıyla kazanç elde etmemek,</w:t>
      </w:r>
    </w:p>
    <w:p>
      <w:pPr>
        <w:pStyle w:val="ListParagraph"/>
        <w:numPr>
          <w:ilvl w:val="0"/>
          <w:numId w:val="2"/>
        </w:numPr>
        <w:spacing w:after="60" w:before="60" w:line="300" w:lineRule="auto"/>
      </w:pPr>
      <w:r>
        <w:rPr>
          <w:rFonts w:ascii="Arial" w:cs="Arial" w:eastAsia="Arial" w:hAnsi="Arial"/>
          <w:color w:val="222222"/>
          <w:sz w:val="22"/>
          <w:szCs w:val="22"/>
        </w:rPr>
        <w:t xml:space="preserve">Satış bedelini döviz olarak Türkiye'ye getirmek.</w:t>
      </w:r>
    </w:p>
    <w:p>
      <w:pPr>
        <w:spacing w:after="0" w:before="160"/>
      </w:pPr>
      <w:r>
        <w:t xml:space="preserve"/>
      </w:r>
    </w:p>
    <w:p>
      <w:pPr>
        <w:pStyle w:val="Heading2"/>
        <w:spacing w:after="100" w:before="320"/>
      </w:pPr>
      <w:r>
        <w:rPr>
          <w:rFonts w:ascii="Arial" w:cs="Arial" w:eastAsia="Arial" w:hAnsi="Arial"/>
          <w:b/>
          <w:bCs/>
          <w:color w:val="000000"/>
        </w:rPr>
        <w:t xml:space="preserve">B. Yurt Dışında Yerleşik Türk Vatandaşları</w:t>
      </w:r>
    </w:p>
    <w:p>
      <w:pPr>
        <w:spacing w:after="80" w:before="80" w:line="320" w:lineRule="auto"/>
        <w:jc w:val="both"/>
      </w:pPr>
      <w:r>
        <w:rPr>
          <w:rFonts w:ascii="Arial" w:cs="Arial" w:eastAsia="Arial" w:hAnsi="Arial"/>
          <w:color w:val="222222"/>
          <w:sz w:val="22"/>
          <w:szCs w:val="22"/>
        </w:rPr>
        <w:t xml:space="preserve">Aşağıdaki koşulları sağlayan Türk vatandaşları istisnadan yararlanabilir:</w:t>
      </w:r>
    </w:p>
    <w:p>
      <w:pPr>
        <w:spacing w:after="0" w:before="8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Çalışma veya oturma izni ile en az altı aydır yurt dışında yaşıyor olmak,</w:t>
      </w:r>
    </w:p>
    <w:p>
      <w:pPr>
        <w:pStyle w:val="ListParagraph"/>
        <w:numPr>
          <w:ilvl w:val="0"/>
          <w:numId w:val="2"/>
        </w:numPr>
        <w:spacing w:after="60" w:before="60" w:line="300" w:lineRule="auto"/>
      </w:pPr>
      <w:r>
        <w:rPr>
          <w:rFonts w:ascii="Arial" w:cs="Arial" w:eastAsia="Arial" w:hAnsi="Arial"/>
          <w:color w:val="222222"/>
          <w:sz w:val="22"/>
          <w:szCs w:val="22"/>
        </w:rPr>
        <w:t xml:space="preserve">Türkiye'de yerleşik sayılmamak,</w:t>
      </w:r>
    </w:p>
    <w:p>
      <w:pPr>
        <w:pStyle w:val="ListParagraph"/>
        <w:numPr>
          <w:ilvl w:val="0"/>
          <w:numId w:val="2"/>
        </w:numPr>
        <w:spacing w:after="60" w:before="60" w:line="300" w:lineRule="auto"/>
      </w:pPr>
      <w:r>
        <w:rPr>
          <w:rFonts w:ascii="Arial" w:cs="Arial" w:eastAsia="Arial" w:hAnsi="Arial"/>
          <w:color w:val="222222"/>
          <w:sz w:val="22"/>
          <w:szCs w:val="22"/>
        </w:rPr>
        <w:t xml:space="preserve">Satış bedelini döviz olarak Türkiye'ye getirmek.</w:t>
      </w:r>
    </w:p>
    <w:p>
      <w:pPr>
        <w:spacing w:after="0" w:before="200"/>
      </w:pPr>
      <w:r>
        <w:t xml:space="preserve"/>
      </w:r>
    </w:p>
    <w:p>
      <w:pPr>
        <w:pStyle w:val="Heading1"/>
        <w:spacing w:after="120" w:before="480"/>
      </w:pPr>
      <w:r>
        <w:rPr>
          <w:rFonts w:ascii="Arial" w:cs="Arial" w:eastAsia="Arial" w:hAnsi="Arial"/>
          <w:b/>
          <w:bCs/>
          <w:color w:val="000000"/>
        </w:rPr>
        <w:t xml:space="preserve">III. İstisna Uygulamasının Temel Şartları</w:t>
      </w:r>
    </w:p>
    <w:p>
      <w:pPr>
        <w:pBdr>
          <w:bottom w:val="single" w:color="333333" w:sz="6" w:space="1"/>
        </w:pBdr>
        <w:spacing w:after="160" w:before="0"/>
      </w:pPr>
      <w:r>
        <w:t xml:space="preserve"/>
      </w:r>
    </w:p>
    <w:p>
      <w:pPr>
        <w:pStyle w:val="Heading2"/>
        <w:spacing w:after="100" w:before="320"/>
      </w:pPr>
      <w:r>
        <w:rPr>
          <w:rFonts w:ascii="Arial" w:cs="Arial" w:eastAsia="Arial" w:hAnsi="Arial"/>
          <w:b/>
          <w:bCs/>
          <w:color w:val="000000"/>
        </w:rPr>
        <w:t xml:space="preserve">1. İlk Teslim Şartı</w:t>
      </w:r>
    </w:p>
    <w:p>
      <w:pPr>
        <w:spacing w:after="80" w:before="80" w:line="320" w:lineRule="auto"/>
        <w:jc w:val="both"/>
      </w:pPr>
      <w:r>
        <w:rPr>
          <w:rFonts w:ascii="Arial" w:cs="Arial" w:eastAsia="Arial" w:hAnsi="Arial"/>
          <w:color w:val="222222"/>
          <w:sz w:val="22"/>
          <w:szCs w:val="22"/>
        </w:rPr>
        <w:t xml:space="preserve">İstisna yalnızca müteahhitten yapılan ilk satışta geçerlidir. İkinci el taşınmaz edinimlerinde bu istisnadan yararlanılması mümkün değildir.</w:t>
      </w:r>
    </w:p>
    <w:p>
      <w:pPr>
        <w:spacing w:after="0" w:before="160"/>
      </w:pPr>
      <w:r>
        <w:t xml:space="preserve"/>
      </w:r>
    </w:p>
    <w:p>
      <w:pPr>
        <w:pStyle w:val="Heading2"/>
        <w:spacing w:after="100" w:before="320"/>
      </w:pPr>
      <w:r>
        <w:rPr>
          <w:rFonts w:ascii="Arial" w:cs="Arial" w:eastAsia="Arial" w:hAnsi="Arial"/>
          <w:b/>
          <w:bCs/>
          <w:color w:val="000000"/>
        </w:rPr>
        <w:t xml:space="preserve">2. Bedelin Döviz Olarak Getirilmesi Şartı</w:t>
      </w:r>
    </w:p>
    <w:p>
      <w:pPr>
        <w:spacing w:after="80" w:before="80" w:line="320" w:lineRule="auto"/>
        <w:jc w:val="both"/>
      </w:pPr>
      <w:r>
        <w:rPr>
          <w:rFonts w:ascii="Arial" w:cs="Arial" w:eastAsia="Arial" w:hAnsi="Arial"/>
          <w:color w:val="222222"/>
          <w:sz w:val="22"/>
          <w:szCs w:val="22"/>
        </w:rPr>
        <w:t xml:space="preserve">Satış bedeline ilişkin olarak şu hususların eksiksiz sağlanması gerekmektedir:</w:t>
      </w:r>
    </w:p>
    <w:p>
      <w:pPr>
        <w:spacing w:after="0" w:before="8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Satış bedeli yurt dışından döviz olarak transfer edilmelidir.</w:t>
      </w:r>
    </w:p>
    <w:p>
      <w:pPr>
        <w:pStyle w:val="ListParagraph"/>
        <w:numPr>
          <w:ilvl w:val="0"/>
          <w:numId w:val="2"/>
        </w:numPr>
        <w:spacing w:after="60" w:before="60" w:line="300" w:lineRule="auto"/>
      </w:pPr>
      <w:r>
        <w:rPr>
          <w:rFonts w:ascii="Arial" w:cs="Arial" w:eastAsia="Arial" w:hAnsi="Arial"/>
          <w:color w:val="222222"/>
          <w:sz w:val="22"/>
          <w:szCs w:val="22"/>
        </w:rPr>
        <w:t xml:space="preserve">Transfer işlemi banka dekontu ile ispatlanmalıdır.</w:t>
      </w:r>
    </w:p>
    <w:p>
      <w:pPr>
        <w:pStyle w:val="ListParagraph"/>
        <w:numPr>
          <w:ilvl w:val="0"/>
          <w:numId w:val="2"/>
        </w:numPr>
        <w:spacing w:after="60" w:before="60" w:line="300" w:lineRule="auto"/>
      </w:pPr>
      <w:r>
        <w:rPr>
          <w:rFonts w:ascii="Arial" w:cs="Arial" w:eastAsia="Arial" w:hAnsi="Arial"/>
          <w:color w:val="222222"/>
          <w:sz w:val="22"/>
          <w:szCs w:val="22"/>
        </w:rPr>
        <w:t xml:space="preserve">Döviz alım belgesi düzenlenmelidir.</w:t>
      </w:r>
    </w:p>
    <w:p>
      <w:pPr>
        <w:spacing w:after="0" w:before="160"/>
      </w:pPr>
      <w:r>
        <w:t xml:space="preserve"/>
      </w:r>
    </w:p>
    <w:p>
      <w:pPr>
        <w:pStyle w:val="Heading2"/>
        <w:spacing w:after="100" w:before="320"/>
      </w:pPr>
      <w:r>
        <w:rPr>
          <w:rFonts w:ascii="Arial" w:cs="Arial" w:eastAsia="Arial" w:hAnsi="Arial"/>
          <w:b/>
          <w:bCs/>
          <w:color w:val="000000"/>
        </w:rPr>
        <w:t xml:space="preserve">3. Üç Yıl Devretmeme Yükümlülüğü</w:t>
      </w:r>
    </w:p>
    <w:p>
      <w:pPr>
        <w:spacing w:after="80" w:before="80" w:line="320" w:lineRule="auto"/>
        <w:jc w:val="both"/>
      </w:pPr>
      <w:r>
        <w:rPr>
          <w:rFonts w:ascii="Arial" w:cs="Arial" w:eastAsia="Arial" w:hAnsi="Arial"/>
          <w:color w:val="222222"/>
          <w:sz w:val="22"/>
          <w:szCs w:val="22"/>
        </w:rPr>
        <w:t xml:space="preserve">İstisna kapsamında edinilen taşınmazın tapu devrinden itibaren üç yıl içinde üçüncü kişilere devredilmesi hâlinde, zamanında tahsil edilemeyen katma değer vergisi; vergi ziyaı cezası ve gecikme faizi ile birlikte taşınmazı devreden alıcıdan tahsil edilir.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20"/>
              <w:left w:type="dxa" w:w="240"/>
              <w:bottom w:type="dxa" w:w="120"/>
              <w:right w:type="dxa" w:w="240"/>
            </w:tcMar>
          </w:tcPr>
          <w:p>
            <w:pPr>
              <w:spacing w:after="0" w:before="0" w:line="300" w:lineRule="auto"/>
              <w:jc w:val="both"/>
            </w:pPr>
            <w:r>
              <w:rPr>
                <w:rFonts w:ascii="Arial" w:cs="Arial" w:eastAsia="Arial" w:hAnsi="Arial"/>
                <w:i/>
                <w:iCs/>
                <w:color w:val="222222"/>
                <w:sz w:val="21"/>
                <w:szCs w:val="21"/>
              </w:rPr>
              <w:t xml:space="preserve">Uyarı: KDV istisnası; gelir vergisi veya tapu harcı gibi diğer vergilerden muafiyet anlamına gelmez. Muafiyet yalnızca ilgili satış sözleşmesinde ve faturada açıkça belirtilmesi ile yasal prosedürlerin eksiksiz yerine getirilmesi hâlinde geçerlilik kazanır. Taşınmazın üç yıl içinde devredilmesi durumunda, daha önce uygulanmayan KDV ve gecikme faizleri ilgiliden geri alınır.</w:t>
            </w:r>
          </w:p>
        </w:tc>
      </w:tr>
    </w:tbl>
    <w:p>
      <w:pPr>
        <w:spacing w:after="0" w:before="200"/>
      </w:pPr>
      <w:r>
        <w:t xml:space="preserve"/>
      </w:r>
    </w:p>
    <w:p>
      <w:pPr>
        <w:pStyle w:val="Heading1"/>
        <w:spacing w:after="120" w:before="480"/>
      </w:pPr>
      <w:r>
        <w:rPr>
          <w:rFonts w:ascii="Arial" w:cs="Arial" w:eastAsia="Arial" w:hAnsi="Arial"/>
          <w:b/>
          <w:bCs/>
          <w:color w:val="000000"/>
        </w:rPr>
        <w:t xml:space="preserve">IV. Vergi Dairesi Nezdindeki Başvuru Süreci</w:t>
      </w:r>
    </w:p>
    <w:p>
      <w:pPr>
        <w:pBdr>
          <w:bottom w:val="single" w:color="333333" w:sz="6" w:space="1"/>
        </w:pBdr>
        <w:spacing w:after="160" w:before="0"/>
      </w:pPr>
      <w:r>
        <w:t xml:space="preserve"/>
      </w:r>
    </w:p>
    <w:p>
      <w:pPr>
        <w:spacing w:after="80" w:before="80" w:line="320" w:lineRule="auto"/>
        <w:jc w:val="both"/>
      </w:pPr>
      <w:r>
        <w:rPr>
          <w:rFonts w:ascii="Arial" w:cs="Arial" w:eastAsia="Arial" w:hAnsi="Arial"/>
          <w:color w:val="222222"/>
          <w:sz w:val="22"/>
          <w:szCs w:val="22"/>
        </w:rPr>
        <w:t xml:space="preserve">KDV istisnası uygulamasında en kritik aşama, kişinin Türkiye'de yerleşik olmadığının vergi dairesince tespiti ve buna ilişkin resmî yazının alınmasıdır. Süreç aşağıdaki adımları kapsamaktadır: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444444" w:sz="2"/>
              <w:left w:val="single" w:color="444444" w:sz="2"/>
              <w:bottom w:val="single" w:color="444444" w:sz="2"/>
              <w:right w:val="single" w:color="444444" w:sz="2"/>
            </w:tcBorders>
            <w:shd w:fill="DDDDDD" w:val="clear"/>
            <w:tcMar>
              <w:top w:type="dxa" w:w="80"/>
              <w:left w:type="dxa" w:w="160"/>
              <w:bottom w:type="dxa" w:w="80"/>
              <w:right w:type="dxa" w:w="160"/>
            </w:tcMar>
          </w:tcPr>
          <w:p>
            <w:r>
              <w:rPr>
                <w:rFonts w:ascii="Arial" w:cs="Arial" w:eastAsia="Arial" w:hAnsi="Arial"/>
                <w:b/>
                <w:bCs/>
                <w:color w:val="000000"/>
                <w:sz w:val="22"/>
                <w:szCs w:val="22"/>
              </w:rPr>
              <w:t xml:space="preserve">Aşama</w:t>
            </w:r>
          </w:p>
        </w:tc>
        <w:tc>
          <w:tcPr>
            <w:tcW w:type="dxa" w:w="6026"/>
            <w:tcBorders>
              <w:top w:val="single" w:color="444444" w:sz="2"/>
              <w:left w:val="single" w:color="444444" w:sz="2"/>
              <w:bottom w:val="single" w:color="444444" w:sz="2"/>
              <w:right w:val="single" w:color="444444" w:sz="2"/>
            </w:tcBorders>
            <w:shd w:fill="DDDDDD" w:val="clear"/>
            <w:tcMar>
              <w:top w:type="dxa" w:w="80"/>
              <w:left w:type="dxa" w:w="160"/>
              <w:bottom w:type="dxa" w:w="80"/>
              <w:right w:type="dxa" w:w="160"/>
            </w:tcMar>
          </w:tcPr>
          <w:p>
            <w:r>
              <w:rPr>
                <w:rFonts w:ascii="Arial" w:cs="Arial" w:eastAsia="Arial" w:hAnsi="Arial"/>
                <w:b/>
                <w:bCs/>
                <w:color w:val="000000"/>
                <w:sz w:val="22"/>
                <w:szCs w:val="22"/>
              </w:rPr>
              <w:t xml:space="preserve">Açıklama</w:t>
            </w:r>
          </w:p>
        </w:tc>
      </w:tr>
      <w:tr>
        <w:tc>
          <w:tcPr>
            <w:tcW w:type="dxa" w:w="3000"/>
            <w:tcBorders>
              <w:top w:val="single" w:color="999999" w:sz="1"/>
              <w:left w:val="single" w:color="999999" w:sz="1"/>
              <w:bottom w:val="single" w:color="999999" w:sz="1"/>
              <w:right w:val="single" w:color="999999"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1. Başvuru</w:t>
            </w:r>
          </w:p>
        </w:tc>
        <w:tc>
          <w:tcPr>
            <w:tcW w:type="dxa" w:w="6026"/>
            <w:tcBorders>
              <w:top w:val="single" w:color="999999" w:sz="1"/>
              <w:left w:val="single" w:color="999999" w:sz="1"/>
              <w:bottom w:val="single" w:color="999999" w:sz="1"/>
              <w:right w:val="single" w:color="999999"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Vergi dairesine dilekçe ile başvuru yapılır.</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2. Araştırma</w:t>
            </w:r>
          </w:p>
        </w:tc>
        <w:tc>
          <w:tcPr>
            <w:tcW w:type="dxa" w:w="6026"/>
            <w:tcBorders>
              <w:top w:val="single" w:color="999999" w:sz="1"/>
              <w:left w:val="single" w:color="999999" w:sz="1"/>
              <w:bottom w:val="single" w:color="999999" w:sz="1"/>
              <w:right w:val="single" w:color="999999"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Kişinin Türkiye'de yerleşik olup olmadığı araştırılır.</w:t>
            </w:r>
          </w:p>
        </w:tc>
      </w:tr>
      <w:tr>
        <w:tc>
          <w:tcPr>
            <w:tcW w:type="dxa" w:w="3000"/>
            <w:tcBorders>
              <w:top w:val="single" w:color="999999" w:sz="1"/>
              <w:left w:val="single" w:color="999999" w:sz="1"/>
              <w:bottom w:val="single" w:color="999999" w:sz="1"/>
              <w:right w:val="single" w:color="999999"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3. Kurumlar Arası Sorgu</w:t>
            </w:r>
          </w:p>
        </w:tc>
        <w:tc>
          <w:tcPr>
            <w:tcW w:type="dxa" w:w="6026"/>
            <w:tcBorders>
              <w:top w:val="single" w:color="999999" w:sz="1"/>
              <w:left w:val="single" w:color="999999" w:sz="1"/>
              <w:bottom w:val="single" w:color="999999" w:sz="1"/>
              <w:right w:val="single" w:color="999999"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İl Göç İdaresi, Emniyet ve ilgili kurumlardan kayıtlar incelenir.</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4. Tespite Dayalı Yazı</w:t>
            </w:r>
          </w:p>
        </w:tc>
        <w:tc>
          <w:tcPr>
            <w:tcW w:type="dxa" w:w="6026"/>
            <w:tcBorders>
              <w:top w:val="single" w:color="999999" w:sz="1"/>
              <w:left w:val="single" w:color="999999" w:sz="1"/>
              <w:bottom w:val="single" w:color="999999" w:sz="1"/>
              <w:right w:val="single" w:color="999999"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Koşulların sağlandığı tespit edilirse resmî yazı düzenlenir.</w:t>
            </w:r>
          </w:p>
        </w:tc>
      </w:tr>
      <w:tr>
        <w:tc>
          <w:tcPr>
            <w:tcW w:type="dxa" w:w="3000"/>
            <w:tcBorders>
              <w:top w:val="single" w:color="999999" w:sz="1"/>
              <w:left w:val="single" w:color="999999" w:sz="1"/>
              <w:bottom w:val="single" w:color="999999" w:sz="1"/>
              <w:right w:val="single" w:color="999999"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5. Kullanım</w:t>
            </w:r>
          </w:p>
        </w:tc>
        <w:tc>
          <w:tcPr>
            <w:tcW w:type="dxa" w:w="6026"/>
            <w:tcBorders>
              <w:top w:val="single" w:color="999999" w:sz="1"/>
              <w:left w:val="single" w:color="999999" w:sz="1"/>
              <w:bottom w:val="single" w:color="999999" w:sz="1"/>
              <w:right w:val="single" w:color="999999"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Bu yazı, satış işlemi sırasında istisna uygulanması için ibraz edilir.</w:t>
            </w:r>
          </w:p>
        </w:tc>
      </w:tr>
    </w:tbl>
    <w:p>
      <w:pPr>
        <w:spacing w:after="0" w:before="200"/>
      </w:pPr>
      <w:r>
        <w:t xml:space="preserve"/>
      </w:r>
    </w:p>
    <w:p>
      <w:pPr>
        <w:pStyle w:val="Heading1"/>
        <w:spacing w:after="120" w:before="480"/>
      </w:pPr>
      <w:r>
        <w:rPr>
          <w:rFonts w:ascii="Arial" w:cs="Arial" w:eastAsia="Arial" w:hAnsi="Arial"/>
          <w:b/>
          <w:bCs/>
          <w:color w:val="000000"/>
        </w:rPr>
        <w:t xml:space="preserve">V. Başvuru İçin Gerekli Belgeler</w:t>
      </w:r>
    </w:p>
    <w:p>
      <w:pPr>
        <w:pBdr>
          <w:bottom w:val="single" w:color="333333" w:sz="6" w:space="1"/>
        </w:pBdr>
        <w:spacing w:after="160" w:before="0"/>
      </w:pPr>
      <w:r>
        <w:t xml:space="preserve"/>
      </w:r>
    </w:p>
    <w:p>
      <w:pPr>
        <w:pStyle w:val="Heading2"/>
        <w:spacing w:after="100" w:before="320"/>
      </w:pPr>
      <w:r>
        <w:rPr>
          <w:rFonts w:ascii="Arial" w:cs="Arial" w:eastAsia="Arial" w:hAnsi="Arial"/>
          <w:b/>
          <w:bCs/>
          <w:color w:val="000000"/>
        </w:rPr>
        <w:t xml:space="preserve">A. Yabancı Uyruklu Kişiler İçin</w:t>
      </w:r>
    </w:p>
    <w:p>
      <w:pPr>
        <w:spacing w:after="0" w:before="6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Pasaport fotokopisi</w:t>
      </w:r>
    </w:p>
    <w:p>
      <w:pPr>
        <w:pStyle w:val="ListParagraph"/>
        <w:numPr>
          <w:ilvl w:val="0"/>
          <w:numId w:val="2"/>
        </w:numPr>
        <w:spacing w:after="60" w:before="60" w:line="300" w:lineRule="auto"/>
      </w:pPr>
      <w:r>
        <w:rPr>
          <w:rFonts w:ascii="Arial" w:cs="Arial" w:eastAsia="Arial" w:hAnsi="Arial"/>
          <w:color w:val="222222"/>
          <w:sz w:val="22"/>
          <w:szCs w:val="22"/>
        </w:rPr>
        <w:t xml:space="preserve">Giriş-çıkış kayıtları</w:t>
      </w:r>
    </w:p>
    <w:p>
      <w:pPr>
        <w:pStyle w:val="ListParagraph"/>
        <w:numPr>
          <w:ilvl w:val="0"/>
          <w:numId w:val="2"/>
        </w:numPr>
        <w:spacing w:after="60" w:before="60" w:line="300" w:lineRule="auto"/>
      </w:pPr>
      <w:r>
        <w:rPr>
          <w:rFonts w:ascii="Arial" w:cs="Arial" w:eastAsia="Arial" w:hAnsi="Arial"/>
          <w:color w:val="222222"/>
          <w:sz w:val="22"/>
          <w:szCs w:val="22"/>
        </w:rPr>
        <w:t xml:space="preserve">Türkiye'de yerleşik olmadığını gösteren belgeler</w:t>
      </w:r>
    </w:p>
    <w:p>
      <w:pPr>
        <w:pStyle w:val="ListParagraph"/>
        <w:numPr>
          <w:ilvl w:val="0"/>
          <w:numId w:val="2"/>
        </w:numPr>
        <w:spacing w:after="60" w:before="60" w:line="300" w:lineRule="auto"/>
      </w:pPr>
      <w:r>
        <w:rPr>
          <w:rFonts w:ascii="Arial" w:cs="Arial" w:eastAsia="Arial" w:hAnsi="Arial"/>
          <w:color w:val="222222"/>
          <w:sz w:val="22"/>
          <w:szCs w:val="22"/>
        </w:rPr>
        <w:t xml:space="preserve">Yurt dışında ikamet ettiğini gösteren resmî belge</w:t>
      </w:r>
    </w:p>
    <w:p>
      <w:pPr>
        <w:pStyle w:val="ListParagraph"/>
        <w:numPr>
          <w:ilvl w:val="0"/>
          <w:numId w:val="2"/>
        </w:numPr>
        <w:spacing w:after="60" w:before="60" w:line="300" w:lineRule="auto"/>
      </w:pPr>
      <w:r>
        <w:rPr>
          <w:rFonts w:ascii="Arial" w:cs="Arial" w:eastAsia="Arial" w:hAnsi="Arial"/>
          <w:color w:val="222222"/>
          <w:sz w:val="22"/>
          <w:szCs w:val="22"/>
        </w:rPr>
        <w:t xml:space="preserve">Taşınmaza ilişkin satış sözleşmesi veya tapu bilgileri</w:t>
      </w:r>
    </w:p>
    <w:p>
      <w:pPr>
        <w:pStyle w:val="ListParagraph"/>
        <w:numPr>
          <w:ilvl w:val="0"/>
          <w:numId w:val="2"/>
        </w:numPr>
        <w:spacing w:after="60" w:before="60" w:line="300" w:lineRule="auto"/>
      </w:pPr>
      <w:r>
        <w:rPr>
          <w:rFonts w:ascii="Arial" w:cs="Arial" w:eastAsia="Arial" w:hAnsi="Arial"/>
          <w:color w:val="222222"/>
          <w:sz w:val="22"/>
          <w:szCs w:val="22"/>
        </w:rPr>
        <w:t xml:space="preserve">Vekâletname</w:t>
      </w:r>
    </w:p>
    <w:p>
      <w:pPr>
        <w:pStyle w:val="ListParagraph"/>
        <w:numPr>
          <w:ilvl w:val="0"/>
          <w:numId w:val="2"/>
        </w:numPr>
        <w:spacing w:after="60" w:before="60" w:line="300" w:lineRule="auto"/>
      </w:pPr>
      <w:r>
        <w:rPr>
          <w:rFonts w:ascii="Arial" w:cs="Arial" w:eastAsia="Arial" w:hAnsi="Arial"/>
          <w:color w:val="222222"/>
          <w:sz w:val="22"/>
          <w:szCs w:val="22"/>
        </w:rPr>
        <w:t xml:space="preserve">Kimlik bilgileri</w:t>
      </w:r>
    </w:p>
    <w:p>
      <w:pPr>
        <w:pStyle w:val="ListParagraph"/>
        <w:numPr>
          <w:ilvl w:val="0"/>
          <w:numId w:val="2"/>
        </w:numPr>
        <w:spacing w:after="60" w:before="60" w:line="300" w:lineRule="auto"/>
      </w:pPr>
      <w:r>
        <w:rPr>
          <w:rFonts w:ascii="Arial" w:cs="Arial" w:eastAsia="Arial" w:hAnsi="Arial"/>
          <w:color w:val="222222"/>
          <w:sz w:val="22"/>
          <w:szCs w:val="22"/>
        </w:rPr>
        <w:t xml:space="preserve">Döviz transferine ilişkin banka belgeleri</w:t>
      </w:r>
    </w:p>
    <w:p>
      <w:pPr>
        <w:spacing w:after="0" w:before="160"/>
      </w:pPr>
      <w:r>
        <w:t xml:space="preserve"/>
      </w:r>
    </w:p>
    <w:p>
      <w:pPr>
        <w:pStyle w:val="Heading2"/>
        <w:spacing w:after="100" w:before="320"/>
      </w:pPr>
      <w:r>
        <w:rPr>
          <w:rFonts w:ascii="Arial" w:cs="Arial" w:eastAsia="Arial" w:hAnsi="Arial"/>
          <w:b/>
          <w:bCs/>
          <w:color w:val="000000"/>
        </w:rPr>
        <w:t xml:space="preserve">B. Yurt Dışında Yerleşik Türk Vatandaşları İçin</w:t>
      </w:r>
    </w:p>
    <w:p>
      <w:pPr>
        <w:spacing w:after="0" w:before="6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Çalışma veya oturma izni belgesi</w:t>
      </w:r>
    </w:p>
    <w:p>
      <w:pPr>
        <w:pStyle w:val="ListParagraph"/>
        <w:numPr>
          <w:ilvl w:val="0"/>
          <w:numId w:val="2"/>
        </w:numPr>
        <w:spacing w:after="60" w:before="60" w:line="300" w:lineRule="auto"/>
      </w:pPr>
      <w:r>
        <w:rPr>
          <w:rFonts w:ascii="Arial" w:cs="Arial" w:eastAsia="Arial" w:hAnsi="Arial"/>
          <w:color w:val="222222"/>
          <w:sz w:val="22"/>
          <w:szCs w:val="22"/>
        </w:rPr>
        <w:t xml:space="preserve">Yurt dışı ikamet belgesi</w:t>
      </w:r>
    </w:p>
    <w:p>
      <w:pPr>
        <w:pStyle w:val="ListParagraph"/>
        <w:numPr>
          <w:ilvl w:val="0"/>
          <w:numId w:val="2"/>
        </w:numPr>
        <w:spacing w:after="60" w:before="60" w:line="300" w:lineRule="auto"/>
      </w:pPr>
      <w:r>
        <w:rPr>
          <w:rFonts w:ascii="Arial" w:cs="Arial" w:eastAsia="Arial" w:hAnsi="Arial"/>
          <w:color w:val="222222"/>
          <w:sz w:val="22"/>
          <w:szCs w:val="22"/>
        </w:rPr>
        <w:t xml:space="preserve">Giriş-çıkış kayıtları</w:t>
      </w:r>
    </w:p>
    <w:p>
      <w:pPr>
        <w:pStyle w:val="ListParagraph"/>
        <w:numPr>
          <w:ilvl w:val="0"/>
          <w:numId w:val="2"/>
        </w:numPr>
        <w:spacing w:after="60" w:before="60" w:line="300" w:lineRule="auto"/>
      </w:pPr>
      <w:r>
        <w:rPr>
          <w:rFonts w:ascii="Arial" w:cs="Arial" w:eastAsia="Arial" w:hAnsi="Arial"/>
          <w:color w:val="222222"/>
          <w:sz w:val="22"/>
          <w:szCs w:val="22"/>
        </w:rPr>
        <w:t xml:space="preserve">Pasaport</w:t>
      </w:r>
    </w:p>
    <w:p>
      <w:pPr>
        <w:pStyle w:val="ListParagraph"/>
        <w:numPr>
          <w:ilvl w:val="0"/>
          <w:numId w:val="2"/>
        </w:numPr>
        <w:spacing w:after="60" w:before="60" w:line="300" w:lineRule="auto"/>
      </w:pPr>
      <w:r>
        <w:rPr>
          <w:rFonts w:ascii="Arial" w:cs="Arial" w:eastAsia="Arial" w:hAnsi="Arial"/>
          <w:color w:val="222222"/>
          <w:sz w:val="22"/>
          <w:szCs w:val="22"/>
        </w:rPr>
        <w:t xml:space="preserve">Satış sözleşmesi</w:t>
      </w:r>
    </w:p>
    <w:p>
      <w:pPr>
        <w:pStyle w:val="ListParagraph"/>
        <w:numPr>
          <w:ilvl w:val="0"/>
          <w:numId w:val="2"/>
        </w:numPr>
        <w:spacing w:after="60" w:before="60" w:line="300" w:lineRule="auto"/>
      </w:pPr>
      <w:r>
        <w:rPr>
          <w:rFonts w:ascii="Arial" w:cs="Arial" w:eastAsia="Arial" w:hAnsi="Arial"/>
          <w:color w:val="222222"/>
          <w:sz w:val="22"/>
          <w:szCs w:val="22"/>
        </w:rPr>
        <w:t xml:space="preserve">Vekâletname</w:t>
      </w:r>
    </w:p>
    <w:p>
      <w:pPr>
        <w:pStyle w:val="ListParagraph"/>
        <w:numPr>
          <w:ilvl w:val="0"/>
          <w:numId w:val="2"/>
        </w:numPr>
        <w:spacing w:after="60" w:before="60" w:line="300" w:lineRule="auto"/>
      </w:pPr>
      <w:r>
        <w:rPr>
          <w:rFonts w:ascii="Arial" w:cs="Arial" w:eastAsia="Arial" w:hAnsi="Arial"/>
          <w:color w:val="222222"/>
          <w:sz w:val="22"/>
          <w:szCs w:val="22"/>
        </w:rPr>
        <w:t xml:space="preserve">Kimlik belgesi</w:t>
      </w:r>
    </w:p>
    <w:p>
      <w:pPr>
        <w:pStyle w:val="ListParagraph"/>
        <w:numPr>
          <w:ilvl w:val="0"/>
          <w:numId w:val="2"/>
        </w:numPr>
        <w:spacing w:after="60" w:before="60" w:line="300" w:lineRule="auto"/>
      </w:pPr>
      <w:r>
        <w:rPr>
          <w:rFonts w:ascii="Arial" w:cs="Arial" w:eastAsia="Arial" w:hAnsi="Arial"/>
          <w:color w:val="222222"/>
          <w:sz w:val="22"/>
          <w:szCs w:val="22"/>
        </w:rPr>
        <w:t xml:space="preserve">Döviz transfer belgeleri</w:t>
      </w:r>
    </w:p>
    <w:p>
      <w:pPr>
        <w:spacing w:after="0" w:before="200"/>
      </w:pPr>
      <w:r>
        <w:t xml:space="preserve"/>
      </w:r>
    </w:p>
    <w:p>
      <w:pPr>
        <w:pStyle w:val="Heading1"/>
        <w:spacing w:after="120" w:before="480"/>
      </w:pPr>
      <w:r>
        <w:rPr>
          <w:rFonts w:ascii="Arial" w:cs="Arial" w:eastAsia="Arial" w:hAnsi="Arial"/>
          <w:b/>
          <w:bCs/>
          <w:color w:val="000000"/>
        </w:rPr>
        <w:t xml:space="preserve">VI. Hukuk Büromuzun Hizmet Kapsamı</w:t>
      </w:r>
    </w:p>
    <w:p>
      <w:pPr>
        <w:pBdr>
          <w:bottom w:val="single" w:color="333333" w:sz="6" w:space="1"/>
        </w:pBdr>
        <w:spacing w:after="160" w:before="0"/>
      </w:pPr>
      <w:r>
        <w:t xml:space="preserve"/>
      </w:r>
    </w:p>
    <w:p>
      <w:pPr>
        <w:spacing w:after="80" w:before="80" w:line="320" w:lineRule="auto"/>
        <w:jc w:val="both"/>
      </w:pPr>
      <w:r>
        <w:rPr>
          <w:rFonts w:ascii="Arial" w:cs="Arial" w:eastAsia="Arial" w:hAnsi="Arial"/>
          <w:color w:val="222222"/>
          <w:sz w:val="22"/>
          <w:szCs w:val="22"/>
        </w:rPr>
        <w:t xml:space="preserve">Büromuz, 3065 sayılı Kanun'un 13/i maddesi kapsamında müvekkillerimize aşağıdaki hizmetleri eksiksiz sunmaktadır:</w:t>
      </w:r>
    </w:p>
    <w:p>
      <w:pPr>
        <w:spacing w:after="0" w:before="120"/>
      </w:pPr>
      <w:r>
        <w:t xml:space="preserve"/>
      </w:r>
    </w:p>
    <w:p>
      <w:pPr>
        <w:pStyle w:val="ListParagraph"/>
        <w:numPr>
          <w:ilvl w:val="0"/>
          <w:numId w:val="3"/>
        </w:numPr>
        <w:spacing w:after="60" w:before="60" w:line="300" w:lineRule="auto"/>
      </w:pPr>
      <w:r>
        <w:rPr>
          <w:rFonts w:ascii="Arial" w:cs="Arial" w:eastAsia="Arial" w:hAnsi="Arial"/>
          <w:color w:val="222222"/>
          <w:sz w:val="22"/>
          <w:szCs w:val="22"/>
        </w:rPr>
        <w:t xml:space="preserve">Uygunluk analizi yapılması</w:t>
      </w:r>
    </w:p>
    <w:p>
      <w:pPr>
        <w:pStyle w:val="ListParagraph"/>
        <w:numPr>
          <w:ilvl w:val="0"/>
          <w:numId w:val="3"/>
        </w:numPr>
        <w:spacing w:after="60" w:before="60" w:line="300" w:lineRule="auto"/>
      </w:pPr>
      <w:r>
        <w:rPr>
          <w:rFonts w:ascii="Arial" w:cs="Arial" w:eastAsia="Arial" w:hAnsi="Arial"/>
          <w:color w:val="222222"/>
          <w:sz w:val="22"/>
          <w:szCs w:val="22"/>
        </w:rPr>
        <w:t xml:space="preserve">Belgelerin temin edilmesi ve başvuru dosyasının hazırlanması</w:t>
      </w:r>
    </w:p>
    <w:p>
      <w:pPr>
        <w:pStyle w:val="ListParagraph"/>
        <w:numPr>
          <w:ilvl w:val="0"/>
          <w:numId w:val="3"/>
        </w:numPr>
        <w:spacing w:after="60" w:before="60" w:line="300" w:lineRule="auto"/>
      </w:pPr>
      <w:r>
        <w:rPr>
          <w:rFonts w:ascii="Arial" w:cs="Arial" w:eastAsia="Arial" w:hAnsi="Arial"/>
          <w:color w:val="222222"/>
          <w:sz w:val="22"/>
          <w:szCs w:val="22"/>
        </w:rPr>
        <w:t xml:space="preserve">Vergi dairesine başvurunun gerçekleştirilmesi</w:t>
      </w:r>
    </w:p>
    <w:p>
      <w:pPr>
        <w:pStyle w:val="ListParagraph"/>
        <w:numPr>
          <w:ilvl w:val="0"/>
          <w:numId w:val="3"/>
        </w:numPr>
        <w:spacing w:after="60" w:before="60" w:line="300" w:lineRule="auto"/>
      </w:pPr>
      <w:r>
        <w:rPr>
          <w:rFonts w:ascii="Arial" w:cs="Arial" w:eastAsia="Arial" w:hAnsi="Arial"/>
          <w:color w:val="222222"/>
          <w:sz w:val="22"/>
          <w:szCs w:val="22"/>
        </w:rPr>
        <w:t xml:space="preserve">Kurumlar arası yazışmaların takip edilmesi</w:t>
      </w:r>
    </w:p>
    <w:p>
      <w:pPr>
        <w:pStyle w:val="ListParagraph"/>
        <w:numPr>
          <w:ilvl w:val="0"/>
          <w:numId w:val="3"/>
        </w:numPr>
        <w:spacing w:after="60" w:before="60" w:line="300" w:lineRule="auto"/>
      </w:pPr>
      <w:r>
        <w:rPr>
          <w:rFonts w:ascii="Arial" w:cs="Arial" w:eastAsia="Arial" w:hAnsi="Arial"/>
          <w:color w:val="222222"/>
          <w:sz w:val="22"/>
          <w:szCs w:val="22"/>
        </w:rPr>
        <w:t xml:space="preserve">Vergi dairesi resmî yazısının temin edilmesi</w:t>
      </w:r>
    </w:p>
    <w:p>
      <w:pPr>
        <w:pStyle w:val="ListParagraph"/>
        <w:numPr>
          <w:ilvl w:val="0"/>
          <w:numId w:val="3"/>
        </w:numPr>
        <w:spacing w:after="60" w:before="60" w:line="300" w:lineRule="auto"/>
      </w:pPr>
      <w:r>
        <w:rPr>
          <w:rFonts w:ascii="Arial" w:cs="Arial" w:eastAsia="Arial" w:hAnsi="Arial"/>
          <w:color w:val="222222"/>
          <w:sz w:val="22"/>
          <w:szCs w:val="22"/>
        </w:rPr>
        <w:t xml:space="preserve">Sürecin tapu devrine kadar yönetilmesi</w:t>
      </w:r>
    </w:p>
    <w:p>
      <w:pPr>
        <w:pStyle w:val="ListParagraph"/>
        <w:numPr>
          <w:ilvl w:val="0"/>
          <w:numId w:val="3"/>
        </w:numPr>
        <w:spacing w:after="60" w:before="60" w:line="300" w:lineRule="auto"/>
      </w:pPr>
      <w:r>
        <w:rPr>
          <w:rFonts w:ascii="Arial" w:cs="Arial" w:eastAsia="Arial" w:hAnsi="Arial"/>
          <w:color w:val="222222"/>
          <w:sz w:val="22"/>
          <w:szCs w:val="22"/>
        </w:rPr>
        <w:t xml:space="preserve">İstisnaya esas resmî belgenin müvekkile teslim edilmesi</w:t>
      </w:r>
    </w:p>
    <w:p>
      <w:pPr>
        <w:spacing w:after="0" w:before="120"/>
      </w:pPr>
      <w:r>
        <w:t xml:space="preserve"/>
      </w:r>
    </w:p>
    <w:p>
      <w:pPr>
        <w:spacing w:after="80" w:before="80" w:line="320" w:lineRule="auto"/>
        <w:jc w:val="both"/>
      </w:pPr>
      <w:r>
        <w:rPr>
          <w:rFonts w:ascii="Arial" w:cs="Arial" w:eastAsia="Arial" w:hAnsi="Arial"/>
          <w:color w:val="222222"/>
          <w:sz w:val="22"/>
          <w:szCs w:val="22"/>
        </w:rPr>
        <w:t xml:space="preserve">Tüm süreç vekâleten ve eksiksiz biçimde yürütülmektedir.</w:t>
      </w:r>
    </w:p>
    <w:p>
      <w:pPr>
        <w:spacing w:after="0" w:before="200"/>
      </w:pPr>
      <w:r>
        <w:t xml:space="preserve"/>
      </w:r>
    </w:p>
    <w:p>
      <w:pPr>
        <w:pStyle w:val="Heading1"/>
        <w:spacing w:after="120" w:before="480"/>
      </w:pPr>
      <w:r>
        <w:rPr>
          <w:rFonts w:ascii="Arial" w:cs="Arial" w:eastAsia="Arial" w:hAnsi="Arial"/>
          <w:b/>
          <w:bCs/>
          <w:color w:val="000000"/>
        </w:rPr>
        <w:t xml:space="preserve">VII. Risk Yönetimi ve Hukuki Güvence</w:t>
      </w:r>
    </w:p>
    <w:p>
      <w:pPr>
        <w:pBdr>
          <w:bottom w:val="single" w:color="333333" w:sz="6" w:space="1"/>
        </w:pBdr>
        <w:spacing w:after="160" w:before="0"/>
      </w:pPr>
      <w:r>
        <w:t xml:space="preserve"/>
      </w:r>
    </w:p>
    <w:p>
      <w:pPr>
        <w:spacing w:after="80" w:before="80" w:line="320" w:lineRule="auto"/>
        <w:jc w:val="both"/>
      </w:pPr>
      <w:r>
        <w:rPr>
          <w:rFonts w:ascii="Arial" w:cs="Arial" w:eastAsia="Arial" w:hAnsi="Arial"/>
          <w:color w:val="222222"/>
          <w:sz w:val="22"/>
          <w:szCs w:val="22"/>
        </w:rPr>
        <w:t xml:space="preserve">İstisnanın hatalı uygulanması ya da koşulların sonradan ihlal edilmesi hâlinde aşağıdaki yaptırımlar gündeme gelmektedir:</w:t>
      </w:r>
    </w:p>
    <w:p>
      <w:pPr>
        <w:spacing w:after="0" w:before="80"/>
      </w:pPr>
      <w:r>
        <w:t xml:space="preserve"/>
      </w:r>
    </w:p>
    <w:p>
      <w:pPr>
        <w:pStyle w:val="ListParagraph"/>
        <w:numPr>
          <w:ilvl w:val="0"/>
          <w:numId w:val="2"/>
        </w:numPr>
        <w:spacing w:after="60" w:before="60" w:line="300" w:lineRule="auto"/>
      </w:pPr>
      <w:r>
        <w:rPr>
          <w:rFonts w:ascii="Arial" w:cs="Arial" w:eastAsia="Arial" w:hAnsi="Arial"/>
          <w:color w:val="222222"/>
          <w:sz w:val="22"/>
          <w:szCs w:val="22"/>
        </w:rPr>
        <w:t xml:space="preserve">Zamanında tahsil edilemeyen katma değer vergisinin tamamı,</w:t>
      </w:r>
    </w:p>
    <w:p>
      <w:pPr>
        <w:pStyle w:val="ListParagraph"/>
        <w:numPr>
          <w:ilvl w:val="0"/>
          <w:numId w:val="2"/>
        </w:numPr>
        <w:spacing w:after="60" w:before="60" w:line="300" w:lineRule="auto"/>
      </w:pPr>
      <w:r>
        <w:rPr>
          <w:rFonts w:ascii="Arial" w:cs="Arial" w:eastAsia="Arial" w:hAnsi="Arial"/>
          <w:color w:val="222222"/>
          <w:sz w:val="22"/>
          <w:szCs w:val="22"/>
        </w:rPr>
        <w:t xml:space="preserve">Vergi ziyaı cezası,</w:t>
      </w:r>
    </w:p>
    <w:p>
      <w:pPr>
        <w:pStyle w:val="ListParagraph"/>
        <w:numPr>
          <w:ilvl w:val="0"/>
          <w:numId w:val="2"/>
        </w:numPr>
        <w:spacing w:after="60" w:before="60" w:line="300" w:lineRule="auto"/>
      </w:pPr>
      <w:r>
        <w:rPr>
          <w:rFonts w:ascii="Arial" w:cs="Arial" w:eastAsia="Arial" w:hAnsi="Arial"/>
          <w:color w:val="222222"/>
          <w:sz w:val="22"/>
          <w:szCs w:val="22"/>
        </w:rPr>
        <w:t xml:space="preserve">Gecikme faizi.</w:t>
      </w:r>
    </w:p>
    <w:p>
      <w:pPr>
        <w:spacing w:after="0" w:before="120"/>
      </w:pPr>
      <w:r>
        <w:t xml:space="preserve"/>
      </w:r>
    </w:p>
    <w:p>
      <w:pPr>
        <w:spacing w:after="80" w:before="80" w:line="320" w:lineRule="auto"/>
        <w:jc w:val="both"/>
      </w:pPr>
      <w:r>
        <w:rPr>
          <w:rFonts w:ascii="Arial" w:cs="Arial" w:eastAsia="Arial" w:hAnsi="Arial"/>
          <w:color w:val="222222"/>
          <w:sz w:val="22"/>
          <w:szCs w:val="22"/>
        </w:rPr>
        <w:t xml:space="preserve">Bu yaptırımlar, taşınmazı edinen alıcıdan bizzat tahsil edilmektedir. Bu nedenle sürecin teknik vergi hukuku bilgisi ve uygulama deneyimi gerektirdiği açıktır. Büromuz, müvekkillerini ileride doğabilecek vergi risklerine karşı koruyacak biçimde dosyayı yapılandırmakta ve gerekli hukuki denetimi sağlamaktadır.</w:t>
      </w:r>
    </w:p>
    <w:p>
      <w:pPr>
        <w:spacing w:after="0" w:before="200"/>
      </w:pPr>
      <w:r>
        <w:t xml:space="preserve"/>
      </w:r>
    </w:p>
    <w:p>
      <w:pPr>
        <w:pStyle w:val="Heading1"/>
        <w:spacing w:after="120" w:before="480"/>
      </w:pPr>
      <w:r>
        <w:rPr>
          <w:rFonts w:ascii="Arial" w:cs="Arial" w:eastAsia="Arial" w:hAnsi="Arial"/>
          <w:b/>
          <w:bCs/>
          <w:color w:val="000000"/>
        </w:rPr>
        <w:t xml:space="preserve">VIII. Sonuç</w:t>
      </w:r>
    </w:p>
    <w:p>
      <w:pPr>
        <w:pBdr>
          <w:bottom w:val="single" w:color="333333" w:sz="6" w:space="1"/>
        </w:pBdr>
        <w:spacing w:after="160" w:before="0"/>
      </w:pPr>
      <w:r>
        <w:t xml:space="preserve"/>
      </w:r>
    </w:p>
    <w:p>
      <w:pPr>
        <w:spacing w:after="80" w:before="80" w:line="320" w:lineRule="auto"/>
        <w:jc w:val="both"/>
      </w:pPr>
      <w:r>
        <w:rPr>
          <w:rFonts w:ascii="Arial" w:cs="Arial" w:eastAsia="Arial" w:hAnsi="Arial"/>
          <w:color w:val="222222"/>
          <w:sz w:val="22"/>
          <w:szCs w:val="22"/>
        </w:rPr>
        <w:t xml:space="preserve">3065 sayılı KDV Kanunu'nun 13/i maddesi, yabancı yatırımcılar ve yurt dışında yaşayan Türk vatandaşları için önemli bir vergi avantajı sunmaktadır. Bununla birlikte, istisnanın geçerlilik kazanabilmesi için sıkı biçim ve belge koşullarının eksiksiz yerine getirilmesi zorunludur.</w:t>
      </w:r>
    </w:p>
    <w:p>
      <w:pPr>
        <w:spacing w:after="0" w:before="80"/>
      </w:pPr>
      <w:r>
        <w:t xml:space="preserve"/>
      </w:r>
    </w:p>
    <w:p>
      <w:pPr>
        <w:spacing w:after="80" w:before="80" w:line="320" w:lineRule="auto"/>
        <w:jc w:val="both"/>
      </w:pPr>
      <w:r>
        <w:rPr>
          <w:rFonts w:ascii="Arial" w:cs="Arial" w:eastAsia="Arial" w:hAnsi="Arial"/>
          <w:color w:val="222222"/>
          <w:sz w:val="22"/>
          <w:szCs w:val="22"/>
        </w:rPr>
        <w:t xml:space="preserve">Hukuk büromuz; süreci baştan sona yönetmekte, vergi dairesi nezdindeki işlemleri vekâleten yürütmekte ve istisnaya esas resmî yazıyı temin ederek müvekkillerimize teslim etmektedir.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2"/>
              <w:left w:val="single" w:color="999999" w:sz="2"/>
              <w:bottom w:val="single" w:color="999999" w:sz="2"/>
              <w:right w:val="single" w:color="999999" w:sz="2"/>
            </w:tcBorders>
            <w:shd w:fill="F5F5F5" w:val="clear"/>
            <w:tcMar>
              <w:top w:type="dxa" w:w="120"/>
              <w:left w:type="dxa" w:w="240"/>
              <w:bottom w:type="dxa" w:w="120"/>
              <w:right w:type="dxa" w:w="240"/>
            </w:tcMar>
          </w:tcPr>
          <w:p>
            <w:pPr>
              <w:spacing w:after="0" w:before="0" w:line="300" w:lineRule="auto"/>
              <w:jc w:val="both"/>
            </w:pPr>
            <w:r>
              <w:rPr>
                <w:rFonts w:ascii="Arial" w:cs="Arial" w:eastAsia="Arial" w:hAnsi="Arial"/>
                <w:i/>
                <w:iCs/>
                <w:color w:val="222222"/>
                <w:sz w:val="21"/>
                <w:szCs w:val="21"/>
              </w:rPr>
              <w:t xml:space="preserve">Ayrıntılı bilgi ve hukuki danışmanlık için büromuzla iletişime geçebilirsiniz.</w:t>
            </w:r>
          </w:p>
        </w:tc>
      </w:tr>
    </w:tbl>
    <w:p>
      <w:pPr>
        <w:spacing w:after="0" w:before="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1"/>
      </w:pBdr>
      <w:tabs>
        <w:tab w:val="center" w:pos="4513"/>
        <w:tab w:val="right" w:pos="9026"/>
      </w:tabs>
      <w:spacing w:after="0" w:before="120"/>
    </w:pPr>
    <w:r>
      <w:rPr>
        <w:rFonts w:ascii="Arial" w:cs="Arial" w:eastAsia="Arial" w:hAnsi="Arial"/>
        <w:color w:val="888888"/>
        <w:sz w:val="16"/>
        <w:szCs w:val="16"/>
      </w:rPr>
      <w:t xml:space="preserve">Necmettin Barman Hukuk Bürosu</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spacing w:after="120" w:before="0"/>
      <w:jc w:val="right"/>
    </w:pPr>
    <w:r>
      <w:rPr>
        <w:rFonts w:ascii="Arial" w:cs="Arial" w:eastAsia="Arial" w:hAnsi="Arial"/>
        <w:i/>
        <w:iCs/>
        <w:color w:val="888888"/>
        <w:sz w:val="16"/>
        <w:szCs w:val="16"/>
      </w:rPr>
      <w:t xml:space="preserve">3065 Sayılı KDV Kanunu 13/i Maddesi — Taşınmaz Teslimlerinde KDV İstisnası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2026-05-12T07:31:53.923Z</dcterms:created>
  <dcterms:modified xsi:type="dcterms:W3CDTF">2026-05-12T07:31:53.924Z</dcterms:modified>
</cp:coreProperties>
</file>

<file path=docProps/custom.xml><?xml version="1.0" encoding="utf-8"?>
<Properties xmlns="http://schemas.openxmlformats.org/officeDocument/2006/custom-properties" xmlns:vt="http://schemas.openxmlformats.org/officeDocument/2006/docPropsVTypes"/>
</file>