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
        <w:jc w:val="center"/>
      </w:pPr>
      <w:r>
        <w:rPr>
          <w:rFonts w:ascii="Times New Roman" w:cs="Times New Roman" w:eastAsia="Times New Roman" w:hAnsi="Times New Roman"/>
          <w:b/>
          <w:bCs/>
          <w:color w:val="000000"/>
          <w:sz w:val="36"/>
          <w:szCs w:val="36"/>
        </w:rPr>
        <w:t xml:space="preserve">Veraset İlamı</w:t>
      </w:r>
    </w:p>
    <w:p>
      <w:pPr>
        <w:pBdr>
          <w:bottom w:val="single" w:color="000000" w:sz="8" w:space="8"/>
        </w:pBdr>
        <w:spacing w:after="480" w:before="0"/>
        <w:jc w:val="center"/>
      </w:pPr>
      <w:r>
        <w:rPr>
          <w:rFonts w:ascii="Times New Roman" w:cs="Times New Roman" w:eastAsia="Times New Roman" w:hAnsi="Times New Roman"/>
          <w:i/>
          <w:iCs/>
          <w:color w:val="000000"/>
          <w:sz w:val="24"/>
          <w:szCs w:val="24"/>
        </w:rPr>
        <w:t xml:space="preserve">Hukuki Niteliği, Süreç, Belgeler, Yabancılık Unsuru ve Yargıtay İçtihatları Işığında Kapsamlı Değerlendirme</w:t>
      </w:r>
    </w:p>
    <w:p>
      <w:pPr>
        <w:pStyle w:val="Heading2"/>
        <w:spacing w:after="160" w:before="360"/>
        <w:jc w:val="left"/>
      </w:pPr>
      <w:r>
        <w:rPr>
          <w:rFonts w:ascii="Times New Roman" w:cs="Times New Roman" w:eastAsia="Times New Roman" w:hAnsi="Times New Roman"/>
          <w:b/>
          <w:bCs/>
          <w:color w:val="000000"/>
          <w:sz w:val="26"/>
          <w:szCs w:val="26"/>
        </w:rPr>
        <w:t xml:space="preserve">Giriş</w:t>
      </w:r>
    </w:p>
    <w:p>
      <w:pPr>
        <w:spacing w:after="160" w:before="0" w:line="360"/>
        <w:ind w:firstLine="360"/>
        <w:jc w:val="both"/>
      </w:pPr>
      <w:r>
        <w:rPr>
          <w:rFonts w:ascii="Times New Roman" w:cs="Times New Roman" w:eastAsia="Times New Roman" w:hAnsi="Times New Roman"/>
          <w:sz w:val="22"/>
          <w:szCs w:val="22"/>
        </w:rPr>
        <w:t xml:space="preserve">Veraset ilamı, ölen kişinin (murisin) yasal ve atanmış mirasçılarının kimliği ile miras paylarını gösteren resmi belgedir. 4721 sayılı Türk Medeni Kanunu uyarınca miras, murisin ölümü ile birlikte bir bütün hâlinde mirasçılara kendiliğinden geçer. Bununla birlikte, miras hakkının üçüncü kişilere ve resmi kurumlara karşı ileri sürülebilmesi için mirasçılık sıfatının belgelenmesi zorunludur. İşte bu belgeleme işlevini gören temel hukuki araç veraset ilamıdır.</w:t>
      </w:r>
    </w:p>
    <w:p>
      <w:pPr>
        <w:spacing w:after="160" w:before="0" w:line="360"/>
        <w:ind w:firstLine="360"/>
        <w:jc w:val="both"/>
      </w:pPr>
      <w:r>
        <w:rPr>
          <w:rFonts w:ascii="Times New Roman" w:cs="Times New Roman" w:eastAsia="Times New Roman" w:hAnsi="Times New Roman"/>
          <w:sz w:val="22"/>
          <w:szCs w:val="22"/>
        </w:rPr>
        <w:t xml:space="preserve">Veraset ilamı olmaksızın murise ait taşınmazların tapuda devri, banka hesaplarına erişim, intifa ve rehinli hakların terkini, şirket pay defterinde mirasçıların kaydı, vergi dairesi nezdinde veraset ve intihal vergisi beyanı ile resmi kurumlardaki diğer işlemlerin yürütülmesi mümkün değildir. Bu yönüyle veraset ilamı, miras hukukunun uygulamadaki ilk ve en kritik aracı niteliğindedir.</w:t>
      </w:r>
    </w:p>
    <w:p>
      <w:pPr>
        <w:spacing w:after="160" w:before="0" w:line="360"/>
        <w:ind w:firstLine="360"/>
        <w:jc w:val="both"/>
      </w:pPr>
      <w:r>
        <w:rPr>
          <w:rFonts w:ascii="Times New Roman" w:cs="Times New Roman" w:eastAsia="Times New Roman" w:hAnsi="Times New Roman"/>
          <w:sz w:val="22"/>
          <w:szCs w:val="22"/>
        </w:rPr>
        <w:t xml:space="preserve">İşbu çalışmada veraset ilamının hukuki niteliği, başvuru mercileri, izlenecek usul, gerekli belgeler, süreler ve masraflar ile özellikle yabancılık unsuru içeren dosyalarda dikkat edilmesi gereken hususlar; güncel mevzuat ve Yargıtay içtihatları ışığında incelenmiştir.</w:t>
      </w:r>
    </w:p>
    <w:p>
      <w:pPr>
        <w:pStyle w:val="Heading2"/>
        <w:spacing w:after="160" w:before="360"/>
        <w:jc w:val="left"/>
      </w:pPr>
      <w:r>
        <w:rPr>
          <w:rFonts w:ascii="Times New Roman" w:cs="Times New Roman" w:eastAsia="Times New Roman" w:hAnsi="Times New Roman"/>
          <w:b/>
          <w:bCs/>
          <w:color w:val="000000"/>
          <w:sz w:val="26"/>
          <w:szCs w:val="26"/>
        </w:rPr>
        <w:t xml:space="preserve">Veraset İlamının Hukuki Niteliği ve Yasal Dayanağı</w:t>
      </w:r>
    </w:p>
    <w:p>
      <w:pPr>
        <w:spacing w:after="160" w:before="0" w:line="360"/>
        <w:ind w:firstLine="360"/>
        <w:jc w:val="both"/>
      </w:pPr>
      <w:r>
        <w:rPr>
          <w:rFonts w:ascii="Times New Roman" w:cs="Times New Roman" w:eastAsia="Times New Roman" w:hAnsi="Times New Roman"/>
          <w:sz w:val="22"/>
          <w:szCs w:val="22"/>
        </w:rPr>
        <w:t xml:space="preserve">Veraset ilamı, mirasçıların kimliğini ve miras paylarını tespit eden açıklayıcı (izhari) nitelikte bir belgedir. Belgenin verilmesi mirasçılık sıfatını kurmaz; mevcut bir hukuki durumu tespit ve ilan eder. Zira miras hakkı, Türk Medeni Kanunu’nun 599. maddesi uyarınca, murisin ölümü ile birlikte mirasçılara doğrudan ve kendiliğinden geçer.</w:t>
      </w:r>
    </w:p>
    <w:p>
      <w:pPr>
        <w:spacing w:after="160" w:before="0" w:line="360"/>
        <w:ind w:firstLine="360"/>
        <w:jc w:val="both"/>
      </w:pPr>
      <w:r>
        <w:rPr>
          <w:rFonts w:ascii="Times New Roman" w:cs="Times New Roman" w:eastAsia="Times New Roman" w:hAnsi="Times New Roman"/>
          <w:sz w:val="22"/>
          <w:szCs w:val="22"/>
        </w:rPr>
        <w:t xml:space="preserve">Veraset ilamının yasal dayanağını esas itibarıyla Türk Medeni Kanunu’nun 598. maddesi oluşturmaktadır. Bu hükme göre mirasçılık belgesi, başvuru üzerine sulh hukuk mahkemesi veya noter tarafından düzenlenir. Belge, aksi sabit oluncaya kadar mirasçılık sıfatına karine teşkil eder.</w:t>
      </w:r>
    </w:p>
    <w:p>
      <w:pPr>
        <w:spacing w:after="160" w:before="0" w:line="360"/>
        <w:ind w:firstLine="360"/>
        <w:jc w:val="both"/>
      </w:pPr>
      <w:r>
        <w:rPr>
          <w:rFonts w:ascii="Times New Roman" w:cs="Times New Roman" w:eastAsia="Times New Roman" w:hAnsi="Times New Roman"/>
          <w:sz w:val="22"/>
          <w:szCs w:val="22"/>
        </w:rPr>
        <w:t xml:space="preserve">Veraset ilamının açıklayıcı nitelikte olması, bu belgeye dayanılarak yapılan işlemlerin geri alınamayacağı anlamına gelmez. Düzenlenen belgede maddi veya hukuki hata bulunduğunun anlaşılması hâlinde, ilgililer tarafından belgenin iptali talep edilebilir.</w:t>
      </w:r>
    </w:p>
    <w:p>
      <w:pPr>
        <w:spacing w:after="60" w:before="120" w:line="320"/>
        <w:ind w:left="360" w:right="360"/>
        <w:jc w:val="both"/>
      </w:pPr>
      <w:r>
        <w:rPr>
          <w:rFonts w:ascii="Times New Roman" w:cs="Times New Roman" w:eastAsia="Times New Roman" w:hAnsi="Times New Roman"/>
          <w:b/>
          <w:bCs/>
          <w:i/>
          <w:iCs/>
          <w:sz w:val="22"/>
          <w:szCs w:val="22"/>
        </w:rPr>
        <w:t xml:space="preserve">İlgili Yargıtay Kararı: </w:t>
      </w:r>
      <w:r>
        <w:rPr>
          <w:rFonts w:ascii="Times New Roman" w:cs="Times New Roman" w:eastAsia="Times New Roman" w:hAnsi="Times New Roman"/>
          <w:b/>
          <w:bCs/>
          <w:i/>
          <w:iCs/>
          <w:sz w:val="22"/>
          <w:szCs w:val="22"/>
        </w:rPr>
        <w:t xml:space="preserve">Mirasçılık Belgesinin Hukuki Niteliği</w:t>
      </w:r>
    </w:p>
    <w:p>
      <w:pPr>
        <w:spacing w:after="240" w:before="0" w:line="320"/>
        <w:ind w:left="360" w:right="360"/>
        <w:jc w:val="both"/>
      </w:pPr>
      <w:r>
        <w:rPr>
          <w:rFonts w:ascii="Times New Roman" w:cs="Times New Roman" w:eastAsia="Times New Roman" w:hAnsi="Times New Roman"/>
          <w:i/>
          <w:iCs/>
          <w:sz w:val="22"/>
          <w:szCs w:val="22"/>
        </w:rPr>
        <w:t xml:space="preserve">Yargıtay’ın yerleşik içtihadına göre mirasçılık belgesi, aksi her zaman ispat edilebilen, mirasçılık sıfatına ilişkin bir karine oluşturur. Belgenin gerçek mirasçılık ilişkisine aykırı düzenlendiğinin sonradan anlaşılması hâlinde, ilgililerce iptali istenebilir; iptal davası süreye tabi değildir.</w:t>
      </w:r>
    </w:p>
    <w:p>
      <w:pPr>
        <w:pStyle w:val="Heading2"/>
        <w:spacing w:after="160" w:before="360"/>
        <w:jc w:val="left"/>
      </w:pPr>
      <w:r>
        <w:rPr>
          <w:rFonts w:ascii="Times New Roman" w:cs="Times New Roman" w:eastAsia="Times New Roman" w:hAnsi="Times New Roman"/>
          <w:b/>
          <w:bCs/>
          <w:color w:val="000000"/>
          <w:sz w:val="26"/>
          <w:szCs w:val="26"/>
        </w:rPr>
        <w:t xml:space="preserve">Görevli ve Yetkili Merci: Sulh Hukuk Mahkemesi ve Noter</w:t>
      </w:r>
    </w:p>
    <w:p>
      <w:pPr>
        <w:spacing w:after="160" w:before="0" w:line="360"/>
        <w:ind w:firstLine="360"/>
        <w:jc w:val="both"/>
      </w:pPr>
      <w:r>
        <w:rPr>
          <w:rFonts w:ascii="Times New Roman" w:cs="Times New Roman" w:eastAsia="Times New Roman" w:hAnsi="Times New Roman"/>
          <w:sz w:val="22"/>
          <w:szCs w:val="22"/>
        </w:rPr>
        <w:t xml:space="preserve">Veraset ilamı, kural olarak iki ayrı merci tarafından düzenlenebilir: sulh hukuk mahkemeleri ve noterler. Hangi merciin yetkili olduğu, somut olayın özelliklerine, özellikle dosyada yabancılık unsurunun bulunup bulunmamasına göre belirlenir.</w:t>
      </w:r>
    </w:p>
    <w:p>
      <w:pPr>
        <w:pStyle w:val="Heading3"/>
        <w:spacing w:after="120" w:before="240"/>
        <w:jc w:val="left"/>
      </w:pPr>
      <w:r>
        <w:rPr>
          <w:rFonts w:ascii="Times New Roman" w:cs="Times New Roman" w:eastAsia="Times New Roman" w:hAnsi="Times New Roman"/>
          <w:b/>
          <w:bCs/>
          <w:color w:val="000000"/>
          <w:sz w:val="24"/>
          <w:szCs w:val="24"/>
        </w:rPr>
        <w:t xml:space="preserve">Sulh Hukuk Mahkemesinin Görevi</w:t>
      </w:r>
    </w:p>
    <w:p>
      <w:pPr>
        <w:spacing w:after="160" w:before="0" w:line="360"/>
        <w:ind w:firstLine="360"/>
        <w:jc w:val="both"/>
      </w:pPr>
      <w:r>
        <w:rPr>
          <w:rFonts w:ascii="Times New Roman" w:cs="Times New Roman" w:eastAsia="Times New Roman" w:hAnsi="Times New Roman"/>
          <w:sz w:val="22"/>
          <w:szCs w:val="22"/>
        </w:rPr>
        <w:t xml:space="preserve">Türk Medeni Kanunu’nun 598. maddesi ile Hukuk Muhakemeleri Kanunu hükümleri çerçevesinde, mirasçılık belgesi vermek görevi kural olarak sulh hukuk mahkemesine aittir. Yetkili sulh hukuk mahkemesi, başvuran mirasçının yerleşim yeri mahkemesidir; bu kural çekişmesiz yargı işlerine ilişkin genel yetki kuralından kaynaklanır.</w:t>
      </w:r>
    </w:p>
    <w:p>
      <w:pPr>
        <w:spacing w:after="160" w:before="0" w:line="360"/>
        <w:ind w:firstLine="360"/>
        <w:jc w:val="both"/>
      </w:pPr>
      <w:r>
        <w:rPr>
          <w:rFonts w:ascii="Times New Roman" w:cs="Times New Roman" w:eastAsia="Times New Roman" w:hAnsi="Times New Roman"/>
          <w:sz w:val="22"/>
          <w:szCs w:val="22"/>
        </w:rPr>
        <w:t xml:space="preserve">Aşağıda sayılan hâllerde başvurunun mutlaka sulh hukuk mahkemesine yapılması gerekir:</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Mirasçılar arasında uyuşmazlık bulunan dosyalar.</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Yabancılık unsuru taşıyan dosyalar (mirasçılardan veya murisin yabancı uyruklu olması, yurt dışında düzenlenmiş belgelerin değerlendirilmesi gerekliliği vb.).</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Nüfus kayıtlarında çelişki, eksiklik veya tashih ihtiyacı bulunan dosyalar.</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Vasiyetname, miras sözleşmesi veya atanmış mirasçı bulunan ve değerlendirme gerektiren dosyalar.</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Evlatlık ilişkisi, soybağı tespiti veya tanıma gibi ön meselelerin çözülmesi gereken dosyalar.</w:t>
      </w:r>
    </w:p>
    <w:p>
      <w:pPr>
        <w:pStyle w:val="Heading3"/>
        <w:spacing w:after="120" w:before="240"/>
        <w:jc w:val="left"/>
      </w:pPr>
      <w:r>
        <w:rPr>
          <w:rFonts w:ascii="Times New Roman" w:cs="Times New Roman" w:eastAsia="Times New Roman" w:hAnsi="Times New Roman"/>
          <w:b/>
          <w:bCs/>
          <w:color w:val="000000"/>
          <w:sz w:val="24"/>
          <w:szCs w:val="24"/>
        </w:rPr>
        <w:t xml:space="preserve">Noterin Yetkisi ve Sınırları</w:t>
      </w:r>
    </w:p>
    <w:p>
      <w:pPr>
        <w:spacing w:after="160" w:before="0" w:line="360"/>
        <w:ind w:firstLine="360"/>
        <w:jc w:val="both"/>
      </w:pPr>
      <w:r>
        <w:rPr>
          <w:rFonts w:ascii="Times New Roman" w:cs="Times New Roman" w:eastAsia="Times New Roman" w:hAnsi="Times New Roman"/>
          <w:sz w:val="22"/>
          <w:szCs w:val="22"/>
        </w:rPr>
        <w:t xml:space="preserve">Noterler, 1512 sayılı Noterlik Kanunu’nun 71/A maddesi ile Türk Medeni Kanunu’nun 598. maddesi çerçevesinde, belirli şartların sağlanması hâlinde mirasçılık belgesi düzenleyebilir. Ancak noterin yetkisi sınırlıdır. Yabancılık unsuru içeren, mirasçılar arasında uyuşmazlık bulunan, nüfus kayıtlarından mirasçıların açıkça belirlenemediği veya atanmış mirasçı ya da vasiyetname bulunan dosyalarda noter mirasçılık belgesi düzenleyemez; bu hâllerde başvurunun sulh hukuk mahkemesine yapılması zorunludur.</w:t>
      </w:r>
    </w:p>
    <w:p>
      <w:pPr>
        <w:spacing w:after="60" w:before="120" w:line="320"/>
        <w:ind w:left="360" w:right="360"/>
        <w:jc w:val="both"/>
      </w:pPr>
      <w:r>
        <w:rPr>
          <w:rFonts w:ascii="Times New Roman" w:cs="Times New Roman" w:eastAsia="Times New Roman" w:hAnsi="Times New Roman"/>
          <w:b/>
          <w:bCs/>
          <w:i/>
          <w:iCs/>
          <w:sz w:val="22"/>
          <w:szCs w:val="22"/>
        </w:rPr>
        <w:t xml:space="preserve">İlgili Yargıtay Kararı: </w:t>
      </w:r>
      <w:r>
        <w:rPr>
          <w:rFonts w:ascii="Times New Roman" w:cs="Times New Roman" w:eastAsia="Times New Roman" w:hAnsi="Times New Roman"/>
          <w:b/>
          <w:bCs/>
          <w:i/>
          <w:iCs/>
          <w:sz w:val="22"/>
          <w:szCs w:val="22"/>
        </w:rPr>
        <w:t xml:space="preserve">Yabancılık Unsurlu Mirasçılık Belgesi Talepleri</w:t>
      </w:r>
    </w:p>
    <w:p>
      <w:pPr>
        <w:spacing w:after="240" w:before="0" w:line="320"/>
        <w:ind w:left="360" w:right="360"/>
        <w:jc w:val="both"/>
      </w:pPr>
      <w:r>
        <w:rPr>
          <w:rFonts w:ascii="Times New Roman" w:cs="Times New Roman" w:eastAsia="Times New Roman" w:hAnsi="Times New Roman"/>
          <w:i/>
          <w:iCs/>
          <w:sz w:val="22"/>
          <w:szCs w:val="22"/>
        </w:rPr>
        <w:t xml:space="preserve">Yargıtay, yabancılık unsuru taşıyan mirasçılık belgesi taleplerinde noterin yetkili olmadığını, görevin münhasıran sulh hukuk mahkemesine ait bulunduğunu istikrarla kabul etmektedir. Yabancı uyruklu mirasçı veya yabancı kaynaklı belgelerin değerlendirilmesini gerektiren her dosya bu kapsamda sayılır.</w:t>
      </w:r>
    </w:p>
    <w:p>
      <w:pPr>
        <w:pStyle w:val="Heading2"/>
        <w:spacing w:after="160" w:before="360"/>
        <w:jc w:val="left"/>
      </w:pPr>
      <w:r>
        <w:rPr>
          <w:rFonts w:ascii="Times New Roman" w:cs="Times New Roman" w:eastAsia="Times New Roman" w:hAnsi="Times New Roman"/>
          <w:b/>
          <w:bCs/>
          <w:color w:val="000000"/>
          <w:sz w:val="26"/>
          <w:szCs w:val="26"/>
        </w:rPr>
        <w:t xml:space="preserve">Mirasçılığın Belirlenmesi: Yasal ve Atanmış Mirasçılar</w:t>
      </w:r>
    </w:p>
    <w:p>
      <w:pPr>
        <w:spacing w:after="160" w:before="0" w:line="360"/>
        <w:ind w:firstLine="360"/>
        <w:jc w:val="both"/>
      </w:pPr>
      <w:r>
        <w:rPr>
          <w:rFonts w:ascii="Times New Roman" w:cs="Times New Roman" w:eastAsia="Times New Roman" w:hAnsi="Times New Roman"/>
          <w:sz w:val="22"/>
          <w:szCs w:val="22"/>
        </w:rPr>
        <w:t xml:space="preserve">Türk Medeni Kanunu’nda mirasçılar, yasal mirasçılar ve atanmış (iradi) mirasçılar olmak üzere iki ana grupta düzenlenmiştir.</w:t>
      </w:r>
    </w:p>
    <w:p>
      <w:pPr>
        <w:pStyle w:val="Heading3"/>
        <w:spacing w:after="120" w:before="240"/>
        <w:jc w:val="left"/>
      </w:pPr>
      <w:r>
        <w:rPr>
          <w:rFonts w:ascii="Times New Roman" w:cs="Times New Roman" w:eastAsia="Times New Roman" w:hAnsi="Times New Roman"/>
          <w:b/>
          <w:bCs/>
          <w:color w:val="000000"/>
          <w:sz w:val="24"/>
          <w:szCs w:val="24"/>
        </w:rPr>
        <w:t xml:space="preserve">Yasal Mirasçılar ve Zümre Sistemi</w:t>
      </w:r>
    </w:p>
    <w:p>
      <w:pPr>
        <w:spacing w:after="160" w:before="0" w:line="360"/>
        <w:ind w:firstLine="360"/>
        <w:jc w:val="both"/>
      </w:pPr>
      <w:r>
        <w:rPr>
          <w:rFonts w:ascii="Times New Roman" w:cs="Times New Roman" w:eastAsia="Times New Roman" w:hAnsi="Times New Roman"/>
          <w:sz w:val="22"/>
          <w:szCs w:val="22"/>
        </w:rPr>
        <w:t xml:space="preserve">Türk miras hukukunda yasal mirasçılık, zümre (parantel) sistemine dayanır. Bu sisteme göre mirasçılar üç zümrede toplanır: birinci zümre altsoy (çocuklar, torunlar), ikinci zümre ana-baba ve onların altsoyu (kardeşler, yeğenler), üçüncü zümre ise büyük ana-baba ve onların altsoyudur. Önceki zümrede mirasçı bulunması, sonraki zümrenin mirastan yararlanmasına engeldir.</w:t>
      </w:r>
    </w:p>
    <w:p>
      <w:pPr>
        <w:spacing w:after="160" w:before="0" w:line="360"/>
        <w:ind w:firstLine="360"/>
        <w:jc w:val="both"/>
      </w:pPr>
      <w:r>
        <w:rPr>
          <w:rFonts w:ascii="Times New Roman" w:cs="Times New Roman" w:eastAsia="Times New Roman" w:hAnsi="Times New Roman"/>
          <w:sz w:val="22"/>
          <w:szCs w:val="22"/>
        </w:rPr>
        <w:t xml:space="preserve">Sağ kalan eşin miras payı, birlikte mirasçı olduğu zümreye göre değişir. Eş, birinci zümre ile birlikte mirasçı ise mirasın dörtte birine; ikinci zümre ile birlikte mirasçı ise yarısına; büyük ana-baba zümresi ile birlikte mirasçı ise dörtte üçüne hak kazanır. Bu zümrelerden hiçbiri bulunmadığında miras sağ kalan eşe tek başına kalır.</w:t>
      </w:r>
    </w:p>
    <w:p>
      <w:pPr>
        <w:spacing w:after="160" w:before="0" w:line="360"/>
        <w:ind w:firstLine="360"/>
        <w:jc w:val="both"/>
      </w:pPr>
      <w:r>
        <w:rPr>
          <w:rFonts w:ascii="Times New Roman" w:cs="Times New Roman" w:eastAsia="Times New Roman" w:hAnsi="Times New Roman"/>
          <w:sz w:val="22"/>
          <w:szCs w:val="22"/>
        </w:rPr>
        <w:t xml:space="preserve">Evlilik dışı doğmuş ancak soybağı kurulmuş çocuklar, evlilik içi çocuklarla aynı mirasçılık statüsüne sahiptir. Evlatlık ilişkisi de Türk Medeni Kanunu uyarınca soybağına denk hukuki sonuçlar doğurur; evlatlık ve altsoyu, evlat edinene kan hısımı gibi mirasçı olur.</w:t>
      </w:r>
    </w:p>
    <w:p>
      <w:pPr>
        <w:pStyle w:val="Heading3"/>
        <w:spacing w:after="120" w:before="240"/>
        <w:jc w:val="left"/>
      </w:pPr>
      <w:r>
        <w:rPr>
          <w:rFonts w:ascii="Times New Roman" w:cs="Times New Roman" w:eastAsia="Times New Roman" w:hAnsi="Times New Roman"/>
          <w:b/>
          <w:bCs/>
          <w:color w:val="000000"/>
          <w:sz w:val="24"/>
          <w:szCs w:val="24"/>
        </w:rPr>
        <w:t xml:space="preserve">Atanmış Mirasçılar</w:t>
      </w:r>
    </w:p>
    <w:p>
      <w:pPr>
        <w:spacing w:after="160" w:before="0" w:line="360"/>
        <w:ind w:firstLine="360"/>
        <w:jc w:val="both"/>
      </w:pPr>
      <w:r>
        <w:rPr>
          <w:rFonts w:ascii="Times New Roman" w:cs="Times New Roman" w:eastAsia="Times New Roman" w:hAnsi="Times New Roman"/>
          <w:sz w:val="22"/>
          <w:szCs w:val="22"/>
        </w:rPr>
        <w:t xml:space="preserve">Atanmış mirasçılar, murisin sağlığında düzenlediği vasiyetname veya miras sözleşmesi ile mirasçılığa kabul ettiği kişilerdir. Atanmış mirasçılık, yasal mirasçılığı tamamen ortadan kaldırmaz; saklı paylı mirasçıların hakları korunmak suretiyle uygulanır.</w:t>
      </w:r>
    </w:p>
    <w:p>
      <w:pPr>
        <w:spacing w:after="160" w:before="0" w:line="360"/>
        <w:ind w:firstLine="360"/>
        <w:jc w:val="both"/>
      </w:pPr>
      <w:r>
        <w:rPr>
          <w:rFonts w:ascii="Times New Roman" w:cs="Times New Roman" w:eastAsia="Times New Roman" w:hAnsi="Times New Roman"/>
          <w:sz w:val="22"/>
          <w:szCs w:val="22"/>
        </w:rPr>
        <w:t xml:space="preserve">Vasiyetname veya miras sözleşmesi bulunan dosyalarda, sulh hukuk mahkemesinin önce vasiyetnamenin açılması ve okunması işlemini gerçekleştirmesi, ardından veraset ilamını bu belge çerçevesinde düzenlemesi gerekir.</w:t>
      </w:r>
    </w:p>
    <w:p>
      <w:pPr>
        <w:pStyle w:val="Heading3"/>
        <w:spacing w:after="120" w:before="240"/>
        <w:jc w:val="left"/>
      </w:pPr>
      <w:r>
        <w:rPr>
          <w:rFonts w:ascii="Times New Roman" w:cs="Times New Roman" w:eastAsia="Times New Roman" w:hAnsi="Times New Roman"/>
          <w:b/>
          <w:bCs/>
          <w:color w:val="000000"/>
          <w:sz w:val="24"/>
          <w:szCs w:val="24"/>
        </w:rPr>
        <w:t xml:space="preserve">Saklı Paylı Mirasçılar</w:t>
      </w:r>
    </w:p>
    <w:p>
      <w:pPr>
        <w:spacing w:after="160" w:before="0" w:line="360"/>
        <w:ind w:firstLine="360"/>
        <w:jc w:val="both"/>
      </w:pPr>
      <w:r>
        <w:rPr>
          <w:rFonts w:ascii="Times New Roman" w:cs="Times New Roman" w:eastAsia="Times New Roman" w:hAnsi="Times New Roman"/>
          <w:sz w:val="22"/>
          <w:szCs w:val="22"/>
        </w:rPr>
        <w:t xml:space="preserve">Saklı pay, yasal mirasçıların kanunen güvence altına alınmış ve murisin tek taraflı tasarruflarıyla ihlal edemeyeceği asgari miras hissesidir. 10/05/2007 tarihli ve 5650 sayılı Kanun ile yapılan değişiklikten sonra saklı paylı mirasçılar; murisin altsoyu, ana ve babası ile sağ kalan eştir. Kardeşler bu değişiklikle saklı paylı mirasçı olmaktan çıkarılmıştır.</w:t>
      </w:r>
    </w:p>
    <w:p>
      <w:pPr>
        <w:spacing w:after="160" w:before="0" w:line="360"/>
        <w:ind w:firstLine="360"/>
        <w:jc w:val="both"/>
      </w:pPr>
      <w:r>
        <w:rPr>
          <w:rFonts w:ascii="Times New Roman" w:cs="Times New Roman" w:eastAsia="Times New Roman" w:hAnsi="Times New Roman"/>
          <w:sz w:val="22"/>
          <w:szCs w:val="22"/>
        </w:rPr>
        <w:t xml:space="preserve">Saklı pay oranları şu şekildedir: altsoy için yasal miras payının yarısı; ana ve babadan her biri için yasal miras payının dörtte biri; sağ kalan eş için, altsoy veya ana-baba zümresi ile birlikte mirasçı olduğunda yasal miras payının tamamı, diğer hâllerde yasal miras payının dörtte üçü.</w:t>
      </w:r>
    </w:p>
    <w:p>
      <w:pPr>
        <w:spacing w:after="160" w:before="0" w:line="360"/>
        <w:ind w:firstLine="360"/>
        <w:jc w:val="both"/>
      </w:pPr>
      <w:r>
        <w:rPr>
          <w:rFonts w:ascii="Times New Roman" w:cs="Times New Roman" w:eastAsia="Times New Roman" w:hAnsi="Times New Roman"/>
          <w:sz w:val="22"/>
          <w:szCs w:val="22"/>
        </w:rPr>
        <w:t xml:space="preserve">Saklı payı ihlal edilen mirasçı, tasarrufların tenkisini sağlamak için tenkis davası açma hakkına sahiptir. Tenkis davası, veraset ilamından bağımsız olarak görülen ve ayrı süre ve usule tabi bir dava türüdür.</w:t>
      </w:r>
    </w:p>
    <w:p>
      <w:pPr>
        <w:spacing w:after="60" w:before="120" w:line="320"/>
        <w:ind w:left="360" w:right="360"/>
        <w:jc w:val="both"/>
      </w:pPr>
      <w:r>
        <w:rPr>
          <w:rFonts w:ascii="Times New Roman" w:cs="Times New Roman" w:eastAsia="Times New Roman" w:hAnsi="Times New Roman"/>
          <w:b/>
          <w:bCs/>
          <w:i/>
          <w:iCs/>
          <w:sz w:val="22"/>
          <w:szCs w:val="22"/>
        </w:rPr>
        <w:t xml:space="preserve">İlgili Yargıtay Kararı: </w:t>
      </w:r>
      <w:r>
        <w:rPr>
          <w:rFonts w:ascii="Times New Roman" w:cs="Times New Roman" w:eastAsia="Times New Roman" w:hAnsi="Times New Roman"/>
          <w:b/>
          <w:bCs/>
          <w:i/>
          <w:iCs/>
          <w:sz w:val="22"/>
          <w:szCs w:val="22"/>
        </w:rPr>
        <w:t xml:space="preserve">Tenkis Davası ile Veraset İlamının İlişkisi</w:t>
      </w:r>
    </w:p>
    <w:p>
      <w:pPr>
        <w:spacing w:after="240" w:before="0" w:line="320"/>
        <w:ind w:left="360" w:right="360"/>
        <w:jc w:val="both"/>
      </w:pPr>
      <w:r>
        <w:rPr>
          <w:rFonts w:ascii="Times New Roman" w:cs="Times New Roman" w:eastAsia="Times New Roman" w:hAnsi="Times New Roman"/>
          <w:i/>
          <w:iCs/>
          <w:sz w:val="22"/>
          <w:szCs w:val="22"/>
        </w:rPr>
        <w:t xml:space="preserve">Yargıtay’ın istikrar kazanmış görüşüne göre veraset ilamının düzenlenmiş olması, saklı payı ihlal edilen mirasçının tenkis davası açma hakkına engel teşkil etmez. Tenkis davası, mirasçılık sıfatının tespitinden bağımsız, ayrı bir hak ve dava türüdür.</w:t>
      </w:r>
    </w:p>
    <w:p>
      <w:pPr>
        <w:pStyle w:val="Heading2"/>
        <w:spacing w:after="160" w:before="360"/>
        <w:jc w:val="left"/>
      </w:pPr>
      <w:r>
        <w:rPr>
          <w:rFonts w:ascii="Times New Roman" w:cs="Times New Roman" w:eastAsia="Times New Roman" w:hAnsi="Times New Roman"/>
          <w:b/>
          <w:bCs/>
          <w:color w:val="000000"/>
          <w:sz w:val="26"/>
          <w:szCs w:val="26"/>
        </w:rPr>
        <w:t xml:space="preserve">Veraset İlamı Alma Süreci</w:t>
      </w:r>
    </w:p>
    <w:p>
      <w:pPr>
        <w:spacing w:after="160" w:before="0" w:line="360"/>
        <w:ind w:firstLine="360"/>
        <w:jc w:val="both"/>
      </w:pPr>
      <w:r>
        <w:rPr>
          <w:rFonts w:ascii="Times New Roman" w:cs="Times New Roman" w:eastAsia="Times New Roman" w:hAnsi="Times New Roman"/>
          <w:sz w:val="22"/>
          <w:szCs w:val="22"/>
        </w:rPr>
        <w:t xml:space="preserve">Veraset ilamı süreci, mirasçılardan herhangi birinin yetkili mercie başvurusuyla başlar. Her bir mirasçı, diğer mirasçıların onayına veya katılımına ihtiyaç duymaksızın tek başına başvuruda bulunabilir. Başvuru bizzat yapılabileceği gibi, usulüne uygun düzenlenmiş bir vekâletname ile avukat aracılığıyla da yürütülebilir.</w:t>
      </w:r>
    </w:p>
    <w:p>
      <w:pPr>
        <w:pStyle w:val="Heading3"/>
        <w:spacing w:after="120" w:before="240"/>
        <w:jc w:val="left"/>
      </w:pPr>
      <w:r>
        <w:rPr>
          <w:rFonts w:ascii="Times New Roman" w:cs="Times New Roman" w:eastAsia="Times New Roman" w:hAnsi="Times New Roman"/>
          <w:b/>
          <w:bCs/>
          <w:color w:val="000000"/>
          <w:sz w:val="24"/>
          <w:szCs w:val="24"/>
        </w:rPr>
        <w:t xml:space="preserve">Aşama 1: Başvurunun Hazırlanması</w:t>
      </w:r>
    </w:p>
    <w:p>
      <w:pPr>
        <w:spacing w:after="160" w:before="0" w:line="360"/>
        <w:ind w:firstLine="360"/>
        <w:jc w:val="both"/>
      </w:pPr>
      <w:r>
        <w:rPr>
          <w:rFonts w:ascii="Times New Roman" w:cs="Times New Roman" w:eastAsia="Times New Roman" w:hAnsi="Times New Roman"/>
          <w:sz w:val="22"/>
          <w:szCs w:val="22"/>
        </w:rPr>
        <w:t xml:space="preserve">Bu aşamada murisin ve mirasçıların kimlik bilgileri, ölüm tarihi ve yeri ile başvuruya esas belgeler hazırlanır. Başvuru, veraset ilamı talep dilekçesi ile yapılır. Dilekçede murisin kimliği, ölüm tarihi, başvuranın mirasçılık sıfatı ve talep açıkça belirtilmelidir.</w:t>
      </w:r>
    </w:p>
    <w:p>
      <w:pPr>
        <w:pStyle w:val="Heading3"/>
        <w:spacing w:after="120" w:before="240"/>
        <w:jc w:val="left"/>
      </w:pPr>
      <w:r>
        <w:rPr>
          <w:rFonts w:ascii="Times New Roman" w:cs="Times New Roman" w:eastAsia="Times New Roman" w:hAnsi="Times New Roman"/>
          <w:b/>
          <w:bCs/>
          <w:color w:val="000000"/>
          <w:sz w:val="24"/>
          <w:szCs w:val="24"/>
        </w:rPr>
        <w:t xml:space="preserve">Aşama 2: İnceleme ve Araştırma</w:t>
      </w:r>
    </w:p>
    <w:p>
      <w:pPr>
        <w:spacing w:after="160" w:before="0" w:line="360"/>
        <w:ind w:firstLine="360"/>
        <w:jc w:val="both"/>
      </w:pPr>
      <w:r>
        <w:rPr>
          <w:rFonts w:ascii="Times New Roman" w:cs="Times New Roman" w:eastAsia="Times New Roman" w:hAnsi="Times New Roman"/>
          <w:sz w:val="22"/>
          <w:szCs w:val="22"/>
        </w:rPr>
        <w:t xml:space="preserve">Yetkili merci, MERNİS (Merkezi Nüfus İdaresi Sistemi) kayıtları üzerinden murisin ve mirasçıların nüfus bilgilerini inceler. Gerektiğinde Nüfus Müdürlükleri, Tapu Sicil Müdürlükleri, SGK ve diğer kamu kurumlarından bilgi temin edilir. Yabancılık unsuru içeren dosyalarda Adalet Bakanlığı veya Dışişleri Bakanlığı kanalıyla ilave araştırma yapılabilir.</w:t>
      </w:r>
    </w:p>
    <w:p>
      <w:pPr>
        <w:pStyle w:val="Heading3"/>
        <w:spacing w:after="120" w:before="240"/>
        <w:jc w:val="left"/>
      </w:pPr>
      <w:r>
        <w:rPr>
          <w:rFonts w:ascii="Times New Roman" w:cs="Times New Roman" w:eastAsia="Times New Roman" w:hAnsi="Times New Roman"/>
          <w:b/>
          <w:bCs/>
          <w:color w:val="000000"/>
          <w:sz w:val="24"/>
          <w:szCs w:val="24"/>
        </w:rPr>
        <w:t xml:space="preserve">Aşama 3: Belgenin Düzenlenmesi ve Teslimi</w:t>
      </w:r>
    </w:p>
    <w:p>
      <w:pPr>
        <w:spacing w:after="160" w:before="0" w:line="360"/>
        <w:ind w:firstLine="360"/>
        <w:jc w:val="both"/>
      </w:pPr>
      <w:r>
        <w:rPr>
          <w:rFonts w:ascii="Times New Roman" w:cs="Times New Roman" w:eastAsia="Times New Roman" w:hAnsi="Times New Roman"/>
          <w:sz w:val="22"/>
          <w:szCs w:val="22"/>
        </w:rPr>
        <w:t xml:space="preserve">İnceleme tamamlandıktan sonra veraset ilamı düzenlenir ve başvuru sahibine teslim edilir. Belgede mirasçıların ad ve soyadları, T.C. kimlik numaraları, yakınlık dereceleri ve miras payları açıkça yer alır. Belge, ilgili tüm resmi kurumlar nezdinde kullanılabilir.</w:t>
      </w:r>
    </w:p>
    <w:p>
      <w:pPr>
        <w:pStyle w:val="Heading2"/>
        <w:spacing w:after="160" w:before="360"/>
        <w:jc w:val="left"/>
      </w:pPr>
      <w:r>
        <w:rPr>
          <w:rFonts w:ascii="Times New Roman" w:cs="Times New Roman" w:eastAsia="Times New Roman" w:hAnsi="Times New Roman"/>
          <w:b/>
          <w:bCs/>
          <w:color w:val="000000"/>
          <w:sz w:val="26"/>
          <w:szCs w:val="26"/>
        </w:rPr>
        <w:t xml:space="preserve">Gerekli Belgeler</w:t>
      </w:r>
    </w:p>
    <w:p>
      <w:pPr>
        <w:spacing w:after="160" w:before="0" w:line="360"/>
        <w:ind w:firstLine="360"/>
        <w:jc w:val="both"/>
      </w:pPr>
      <w:r>
        <w:rPr>
          <w:rFonts w:ascii="Times New Roman" w:cs="Times New Roman" w:eastAsia="Times New Roman" w:hAnsi="Times New Roman"/>
          <w:sz w:val="22"/>
          <w:szCs w:val="22"/>
        </w:rPr>
        <w:t xml:space="preserve">Başvuruda sunulması gereken belgeler, somut olaya göre değişmekle birlikte uygulamada genel olarak aşağıdaki belgelerin sunulması istenmektedir:</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Murisin ölüm belgesi (Mernis ölüm tutanağı veya nüfus müdürlüğünden alınan ölüm kayıt örneği).</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Vukuatlı nüfus kayıt örneği (mirasçıların ve aile bağlarının gösterildiği).</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Başvuran mirasçının nüfus cüzdanı / kimlik belgesi.</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Varsa vasiyetname veya miras sözleşmesi.</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Başvuru avukat aracılığıyla yapılıyorsa usulüne uygun düzenlenmiş vekâletname.</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Yabancılık unsuru bulunan dosyalarda; apostil şerhli veya konsolosluk onaylı ölüm, doğum, evlilik ve mirasçılık belgeleri ile bunların yeminli tercüman tarafından yapılmış noter onaylı Türkçe tercümeleri.</w:t>
      </w:r>
    </w:p>
    <w:p>
      <w:pPr>
        <w:pStyle w:val="Heading2"/>
        <w:spacing w:after="160" w:before="360"/>
        <w:jc w:val="left"/>
      </w:pPr>
      <w:r>
        <w:rPr>
          <w:rFonts w:ascii="Times New Roman" w:cs="Times New Roman" w:eastAsia="Times New Roman" w:hAnsi="Times New Roman"/>
          <w:b/>
          <w:bCs/>
          <w:color w:val="000000"/>
          <w:sz w:val="26"/>
          <w:szCs w:val="26"/>
        </w:rPr>
        <w:t xml:space="preserve">Mirasın Kabulü, Reddi ve Borçlardan Sorumluluk</w:t>
      </w:r>
    </w:p>
    <w:p>
      <w:pPr>
        <w:spacing w:after="160" w:before="0" w:line="360"/>
        <w:ind w:firstLine="360"/>
        <w:jc w:val="both"/>
      </w:pPr>
      <w:r>
        <w:rPr>
          <w:rFonts w:ascii="Times New Roman" w:cs="Times New Roman" w:eastAsia="Times New Roman" w:hAnsi="Times New Roman"/>
          <w:sz w:val="22"/>
          <w:szCs w:val="22"/>
        </w:rPr>
        <w:t xml:space="preserve">Türk Medeni Kanunu’na göre miras, murisin ölümü ile birlikte mirasçılara bir bütün hâlinde geçer ve mirasçılar tereke borçlarından kişisel mal varlıklarıyla da sorumlu olur. Ancak mirasçılara bu sorumluluktan kaçınma imkânı tanıyan iki ayrı kurum bulunmaktadır: gerçek (iradi) red ve hükmen red.</w:t>
      </w:r>
    </w:p>
    <w:p>
      <w:pPr>
        <w:pStyle w:val="Heading3"/>
        <w:spacing w:after="120" w:before="240"/>
        <w:jc w:val="left"/>
      </w:pPr>
      <w:r>
        <w:rPr>
          <w:rFonts w:ascii="Times New Roman" w:cs="Times New Roman" w:eastAsia="Times New Roman" w:hAnsi="Times New Roman"/>
          <w:b/>
          <w:bCs/>
          <w:color w:val="000000"/>
          <w:sz w:val="24"/>
          <w:szCs w:val="24"/>
        </w:rPr>
        <w:t xml:space="preserve">Mirasın Gerçek (İradi) Reddi</w:t>
      </w:r>
    </w:p>
    <w:p>
      <w:pPr>
        <w:spacing w:after="160" w:before="0" w:line="360"/>
        <w:ind w:firstLine="360"/>
        <w:jc w:val="both"/>
      </w:pPr>
      <w:r>
        <w:rPr>
          <w:rFonts w:ascii="Times New Roman" w:cs="Times New Roman" w:eastAsia="Times New Roman" w:hAnsi="Times New Roman"/>
          <w:sz w:val="22"/>
          <w:szCs w:val="22"/>
        </w:rPr>
        <w:t xml:space="preserve">Türk Medeni Kanunu’nun 605/1 ile 606. maddeleri uyarınca yasal ve atanmış mirasçılar, mirası reddedebilir. Ret süresi üç ay olup; bu süre, yasal mirasçılar bakımından mirasçı olduklarını daha sonra öğrendikleri ispat edilmedikçe murisin ölümünü öğrendikleri, vasiyetname ile atanmış mirasçılar bakımından ise atamanın kendilerine resmen bildirildiği tarihten itibaren işler. Ret beyanı, sulh hukuk mahkemesine sözlü veya yazılı olarak yapılır ve mahkeme tarafından bir tutanağa bağlanır.</w:t>
      </w:r>
    </w:p>
    <w:p>
      <w:pPr>
        <w:spacing w:after="160" w:before="0" w:line="360"/>
        <w:ind w:firstLine="360"/>
        <w:jc w:val="both"/>
      </w:pPr>
      <w:r>
        <w:rPr>
          <w:rFonts w:ascii="Times New Roman" w:cs="Times New Roman" w:eastAsia="Times New Roman" w:hAnsi="Times New Roman"/>
          <w:sz w:val="22"/>
          <w:szCs w:val="22"/>
        </w:rPr>
        <w:t xml:space="preserve">Süresi içinde mirası reddetmeyen mirasçı, mirası kayıtsız ve şartsız kazanmış sayılır. Bu durumda mirasçı, tereke borçlarından şahsi mal varlığı ile de sınırsız olarak sorumlu olur.</w:t>
      </w:r>
    </w:p>
    <w:p>
      <w:pPr>
        <w:pStyle w:val="Heading3"/>
        <w:spacing w:after="120" w:before="240"/>
        <w:jc w:val="left"/>
      </w:pPr>
      <w:r>
        <w:rPr>
          <w:rFonts w:ascii="Times New Roman" w:cs="Times New Roman" w:eastAsia="Times New Roman" w:hAnsi="Times New Roman"/>
          <w:b/>
          <w:bCs/>
          <w:color w:val="000000"/>
          <w:sz w:val="24"/>
          <w:szCs w:val="24"/>
        </w:rPr>
        <w:t xml:space="preserve">Mirasın Hükmen Reddi</w:t>
      </w:r>
    </w:p>
    <w:p>
      <w:pPr>
        <w:spacing w:after="160" w:before="0" w:line="360"/>
        <w:ind w:firstLine="360"/>
        <w:jc w:val="both"/>
      </w:pPr>
      <w:r>
        <w:rPr>
          <w:rFonts w:ascii="Times New Roman" w:cs="Times New Roman" w:eastAsia="Times New Roman" w:hAnsi="Times New Roman"/>
          <w:sz w:val="22"/>
          <w:szCs w:val="22"/>
        </w:rPr>
        <w:t xml:space="preserve">Türk Medeni Kanunu’nun 605/2. maddesine göre, ölümü tarihinde murisin ödemeden aczi açıkça belli veya resmen tespit edilmiş ise, miras reddedilmiş sayılır. Bu hâlde mirasçıların ayrıca ret beyanında bulunmasına gerek yoktur; miras kendiliğinden reddedilmiş kabul edilir. Ancak uygulamada hükmen reddin tespiti için alacaklılara karşı menfi tespit davası açılması yaygındır.</w:t>
      </w:r>
    </w:p>
    <w:p>
      <w:pPr>
        <w:spacing w:after="60" w:before="120" w:line="320"/>
        <w:ind w:left="360" w:right="360"/>
        <w:jc w:val="both"/>
      </w:pPr>
      <w:r>
        <w:rPr>
          <w:rFonts w:ascii="Times New Roman" w:cs="Times New Roman" w:eastAsia="Times New Roman" w:hAnsi="Times New Roman"/>
          <w:b/>
          <w:bCs/>
          <w:i/>
          <w:iCs/>
          <w:sz w:val="22"/>
          <w:szCs w:val="22"/>
        </w:rPr>
        <w:t xml:space="preserve">İlgili Yargıtay Kararı: </w:t>
      </w:r>
      <w:r>
        <w:rPr>
          <w:rFonts w:ascii="Times New Roman" w:cs="Times New Roman" w:eastAsia="Times New Roman" w:hAnsi="Times New Roman"/>
          <w:b/>
          <w:bCs/>
          <w:i/>
          <w:iCs/>
          <w:sz w:val="22"/>
          <w:szCs w:val="22"/>
        </w:rPr>
        <w:t xml:space="preserve">Mirasın Hükmen Reddi Şartları</w:t>
      </w:r>
    </w:p>
    <w:p>
      <w:pPr>
        <w:spacing w:after="240" w:before="0" w:line="320"/>
        <w:ind w:left="360" w:right="360"/>
        <w:jc w:val="both"/>
      </w:pPr>
      <w:r>
        <w:rPr>
          <w:rFonts w:ascii="Times New Roman" w:cs="Times New Roman" w:eastAsia="Times New Roman" w:hAnsi="Times New Roman"/>
          <w:i/>
          <w:iCs/>
          <w:sz w:val="22"/>
          <w:szCs w:val="22"/>
        </w:rPr>
        <w:t xml:space="preserve">Yargıtay, mirasın hükmen reddi bakımından murisin ölüm tarihindeki aczinin açıkça belli veya resmen tespit edilmiş olmasının yeterli olduğunu; mirasçıların ayrıca süre içinde sulh hukuk mahkemesine ret beyanında bulunmaları gerekmediğini kararlılıkla kabul etmektedir. Mirasçıların terekeye sahiplenen davranışlarda bulunmamış olmaları, hükmen red karinesinden yararlanmaları için yeterlidir.</w:t>
      </w:r>
    </w:p>
    <w:p>
      <w:pPr>
        <w:pStyle w:val="Heading3"/>
        <w:spacing w:after="120" w:before="240"/>
        <w:jc w:val="left"/>
      </w:pPr>
      <w:r>
        <w:rPr>
          <w:rFonts w:ascii="Times New Roman" w:cs="Times New Roman" w:eastAsia="Times New Roman" w:hAnsi="Times New Roman"/>
          <w:b/>
          <w:bCs/>
          <w:color w:val="000000"/>
          <w:sz w:val="24"/>
          <w:szCs w:val="24"/>
        </w:rPr>
        <w:t xml:space="preserve">Mirasın Resmî Defter Tutularak Kabulü</w:t>
      </w:r>
    </w:p>
    <w:p>
      <w:pPr>
        <w:spacing w:after="160" w:before="0" w:line="360"/>
        <w:ind w:firstLine="360"/>
        <w:jc w:val="both"/>
      </w:pPr>
      <w:r>
        <w:rPr>
          <w:rFonts w:ascii="Times New Roman" w:cs="Times New Roman" w:eastAsia="Times New Roman" w:hAnsi="Times New Roman"/>
          <w:sz w:val="22"/>
          <w:szCs w:val="22"/>
        </w:rPr>
        <w:t xml:space="preserve">Mirasçılar, tereke borçlarının kapsamı konusunda tereddüt yaşadıklarında, Türk Medeni Kanunu’nun 619 ve devamı maddeleri uyarınca terekenin resmî defterinin tutulmasını talep edebilirler. Bu yola başvuran mirasçı, mirası ancak defterde gösterilen borçlardan sorumlu olmak üzere kabul etmiş sayılır ve şahsi mal varlığı korunmuş olur.</w:t>
      </w:r>
    </w:p>
    <w:p>
      <w:pPr>
        <w:pStyle w:val="Heading2"/>
        <w:spacing w:after="160" w:before="360"/>
        <w:jc w:val="left"/>
      </w:pPr>
      <w:r>
        <w:rPr>
          <w:rFonts w:ascii="Times New Roman" w:cs="Times New Roman" w:eastAsia="Times New Roman" w:hAnsi="Times New Roman"/>
          <w:b/>
          <w:bCs/>
          <w:color w:val="000000"/>
          <w:sz w:val="26"/>
          <w:szCs w:val="26"/>
        </w:rPr>
        <w:t xml:space="preserve">Veraset İlamının İptali</w:t>
      </w:r>
    </w:p>
    <w:p>
      <w:pPr>
        <w:spacing w:after="160" w:before="0" w:line="360"/>
        <w:ind w:firstLine="360"/>
        <w:jc w:val="both"/>
      </w:pPr>
      <w:r>
        <w:rPr>
          <w:rFonts w:ascii="Times New Roman" w:cs="Times New Roman" w:eastAsia="Times New Roman" w:hAnsi="Times New Roman"/>
          <w:sz w:val="22"/>
          <w:szCs w:val="22"/>
        </w:rPr>
        <w:t xml:space="preserve">Veraset ilamı, açıklayıcı nitelikte bir belge olduğundan, gerçek mirasçılık ilişkisine aykırı düzenlendiği anlaşıldığında iptali talep edilebilir. İptal davası, sulh hukuk mahkemesinde görülür ve herhangi bir hak düşürücü süreye veya zamanaşımına tabi değildir. Davayı, mirasçılık sıfatı bulunan veya hukuki menfaati ihlal edilen herkes açabilir.</w:t>
      </w:r>
    </w:p>
    <w:p>
      <w:pPr>
        <w:spacing w:after="160" w:before="0" w:line="360"/>
        <w:ind w:firstLine="360"/>
        <w:jc w:val="both"/>
      </w:pPr>
      <w:r>
        <w:rPr>
          <w:rFonts w:ascii="Times New Roman" w:cs="Times New Roman" w:eastAsia="Times New Roman" w:hAnsi="Times New Roman"/>
          <w:sz w:val="22"/>
          <w:szCs w:val="22"/>
        </w:rPr>
        <w:t xml:space="preserve">İptal davasının açılması veya kazanılması, iyi niyetli üçüncü kişilerin iptal edilen veraset ilamına dayanarak elde ettikleri hakları kural olarak etkilemez. Ancak kötü niyetli üçüncü kişilere karşı iadeye ilişkin hükümler uygulanır.</w:t>
      </w:r>
    </w:p>
    <w:p>
      <w:pPr>
        <w:spacing w:after="60" w:before="120" w:line="320"/>
        <w:ind w:left="360" w:right="360"/>
        <w:jc w:val="both"/>
      </w:pPr>
      <w:r>
        <w:rPr>
          <w:rFonts w:ascii="Times New Roman" w:cs="Times New Roman" w:eastAsia="Times New Roman" w:hAnsi="Times New Roman"/>
          <w:b/>
          <w:bCs/>
          <w:i/>
          <w:iCs/>
          <w:sz w:val="22"/>
          <w:szCs w:val="22"/>
        </w:rPr>
        <w:t xml:space="preserve">İlgili Yargıtay Kararı: </w:t>
      </w:r>
      <w:r>
        <w:rPr>
          <w:rFonts w:ascii="Times New Roman" w:cs="Times New Roman" w:eastAsia="Times New Roman" w:hAnsi="Times New Roman"/>
          <w:b/>
          <w:bCs/>
          <w:i/>
          <w:iCs/>
          <w:sz w:val="22"/>
          <w:szCs w:val="22"/>
        </w:rPr>
        <w:t xml:space="preserve">Veraset İlamının İptalinde Görev</w:t>
      </w:r>
    </w:p>
    <w:p>
      <w:pPr>
        <w:spacing w:after="240" w:before="0" w:line="320"/>
        <w:ind w:left="360" w:right="360"/>
        <w:jc w:val="both"/>
      </w:pPr>
      <w:r>
        <w:rPr>
          <w:rFonts w:ascii="Times New Roman" w:cs="Times New Roman" w:eastAsia="Times New Roman" w:hAnsi="Times New Roman"/>
          <w:i/>
          <w:iCs/>
          <w:sz w:val="22"/>
          <w:szCs w:val="22"/>
        </w:rPr>
        <w:t xml:space="preserve">Yargıtay, mirasçılık belgesinin iptali davasında görevli mahkemenin sulh hukuk mahkemesi olduğunu, davanın çekişmesiz yargı işi niteliğinde olmayıp çekişmeli yargı kapsamında görülmesi gerektiğini istikrarlı şekilde kabul etmektedir.</w:t>
      </w:r>
    </w:p>
    <w:p>
      <w:pPr>
        <w:pStyle w:val="Heading2"/>
        <w:spacing w:after="160" w:before="360"/>
        <w:jc w:val="left"/>
      </w:pPr>
      <w:r>
        <w:rPr>
          <w:rFonts w:ascii="Times New Roman" w:cs="Times New Roman" w:eastAsia="Times New Roman" w:hAnsi="Times New Roman"/>
          <w:b/>
          <w:bCs/>
          <w:color w:val="000000"/>
          <w:sz w:val="26"/>
          <w:szCs w:val="26"/>
        </w:rPr>
        <w:t xml:space="preserve">Sürecin Tamamlanma Süresi</w:t>
      </w:r>
    </w:p>
    <w:p>
      <w:pPr>
        <w:spacing w:after="160" w:before="0" w:line="360"/>
        <w:ind w:firstLine="360"/>
        <w:jc w:val="both"/>
      </w:pPr>
      <w:r>
        <w:rPr>
          <w:rFonts w:ascii="Times New Roman" w:cs="Times New Roman" w:eastAsia="Times New Roman" w:hAnsi="Times New Roman"/>
          <w:sz w:val="22"/>
          <w:szCs w:val="22"/>
        </w:rPr>
        <w:t xml:space="preserve">Veraset ilamı alınması süresi, başvurunun yapıldığı mercie ve dosyanın niteliğine göre değişiklik gösterir. Şartların elverişli olduğu, yabancılık unsuru taşımayan ve nüfus kayıtlarında çelişki bulunmayan dosyalarda noterler, başvuruyu çoğu zaman aynı gün içinde sonuçlandırabilmektedir.</w:t>
      </w:r>
    </w:p>
    <w:p>
      <w:pPr>
        <w:spacing w:after="160" w:before="0" w:line="360"/>
        <w:ind w:firstLine="360"/>
        <w:jc w:val="both"/>
      </w:pPr>
      <w:r>
        <w:rPr>
          <w:rFonts w:ascii="Times New Roman" w:cs="Times New Roman" w:eastAsia="Times New Roman" w:hAnsi="Times New Roman"/>
          <w:sz w:val="22"/>
          <w:szCs w:val="22"/>
        </w:rPr>
        <w:t xml:space="preserve">Sulh hukuk mahkemesi nezdinde yürütülen başvurularda süre; mahkemenin iş yoğunluğuna, MERNİS ve diğer kurumlardan bilgi temin etme süresine, gerektiğinde yabancı belgelerin değerlendirilmesine bağlı olarak birkaç haftadan birkaç aya kadar uzayabilir. Yabancılık unsuru içeren dosyalarda sürecin daha uzun olması doğaldır.</w:t>
      </w:r>
    </w:p>
    <w:p>
      <w:pPr>
        <w:pStyle w:val="Heading2"/>
        <w:spacing w:after="160" w:before="360"/>
        <w:jc w:val="left"/>
      </w:pPr>
      <w:r>
        <w:rPr>
          <w:rFonts w:ascii="Times New Roman" w:cs="Times New Roman" w:eastAsia="Times New Roman" w:hAnsi="Times New Roman"/>
          <w:b/>
          <w:bCs/>
          <w:color w:val="000000"/>
          <w:sz w:val="26"/>
          <w:szCs w:val="26"/>
        </w:rPr>
        <w:t xml:space="preserve">Masraflar, Harçlar ve Vekâlet Ücreti</w:t>
      </w:r>
    </w:p>
    <w:p>
      <w:pPr>
        <w:spacing w:after="160" w:before="0" w:line="360"/>
        <w:ind w:firstLine="360"/>
        <w:jc w:val="both"/>
      </w:pPr>
      <w:r>
        <w:rPr>
          <w:rFonts w:ascii="Times New Roman" w:cs="Times New Roman" w:eastAsia="Times New Roman" w:hAnsi="Times New Roman"/>
          <w:sz w:val="22"/>
          <w:szCs w:val="22"/>
        </w:rPr>
        <w:t xml:space="preserve">Veraset ilamı alma sürecinde ortaya çıkan masraflar, başvurunun yapıldığı mercie göre değişir. Noter aracılığıyla yapılan başvurularda ücret, ilgili dönem için yayımlanan Noter Ücret Tarifesi’ne göre hesaplanır.</w:t>
      </w:r>
    </w:p>
    <w:p>
      <w:pPr>
        <w:spacing w:after="160" w:before="0" w:line="360"/>
        <w:ind w:firstLine="360"/>
        <w:jc w:val="both"/>
      </w:pPr>
      <w:r>
        <w:rPr>
          <w:rFonts w:ascii="Times New Roman" w:cs="Times New Roman" w:eastAsia="Times New Roman" w:hAnsi="Times New Roman"/>
          <w:sz w:val="22"/>
          <w:szCs w:val="22"/>
        </w:rPr>
        <w:t xml:space="preserve">Sulh hukuk mahkemesi nezdinde yapılan başvurularda; başvuru harcı, karar ve ilam harcı, posta ve tebligat giderleri ile gerektiğinde bilirkişi ücreti gibi yargılama giderleri söz konusu olur. Avukat aracılığıyla yürütülen dosyalarda ayrıca, Avukatlık Asgari Ücret Tarifesi veya taraflar arasındaki sözleşmeye göre belirlenen vekâlet ücreti ödenir.</w:t>
      </w:r>
    </w:p>
    <w:p>
      <w:pPr>
        <w:spacing w:after="160" w:before="0" w:line="360"/>
        <w:ind w:firstLine="360"/>
        <w:jc w:val="both"/>
      </w:pPr>
      <w:r>
        <w:rPr>
          <w:rFonts w:ascii="Times New Roman" w:cs="Times New Roman" w:eastAsia="Times New Roman" w:hAnsi="Times New Roman"/>
          <w:sz w:val="22"/>
          <w:szCs w:val="22"/>
        </w:rPr>
        <w:t xml:space="preserve">Veraset ve intikal vergisi, veraset ilamından sonra ayrıca beyan edilmesi gereken bir vergidir. 7338 sayılı Veraset ve İntikal Vergisi Kanunu hükümleri uyarınca mirasçılar, ölümün gerçekleştiği tarihten itibaren öngörülen sürelerde ilgili vergi dairesine beyanname vermekle yükümlüdür. Bu yükümlülüğün yerine getirilmesi, veraset ilamı sürecinden bağımsız fakat onunla doğrudan bağlantılıdır.</w:t>
      </w:r>
    </w:p>
    <w:p>
      <w:pPr>
        <w:pStyle w:val="Heading2"/>
        <w:spacing w:after="160" w:before="360"/>
        <w:jc w:val="left"/>
      </w:pPr>
      <w:r>
        <w:rPr>
          <w:rFonts w:ascii="Times New Roman" w:cs="Times New Roman" w:eastAsia="Times New Roman" w:hAnsi="Times New Roman"/>
          <w:b/>
          <w:bCs/>
          <w:color w:val="000000"/>
          <w:sz w:val="26"/>
          <w:szCs w:val="26"/>
        </w:rPr>
        <w:t xml:space="preserve">Yabancılık Unsuru İçeren Mirasçılık Belgesi Talepleri</w:t>
      </w:r>
    </w:p>
    <w:p>
      <w:pPr>
        <w:spacing w:after="160" w:before="0" w:line="360"/>
        <w:ind w:firstLine="360"/>
        <w:jc w:val="both"/>
      </w:pPr>
      <w:r>
        <w:rPr>
          <w:rFonts w:ascii="Times New Roman" w:cs="Times New Roman" w:eastAsia="Times New Roman" w:hAnsi="Times New Roman"/>
          <w:sz w:val="22"/>
          <w:szCs w:val="22"/>
        </w:rPr>
        <w:t xml:space="preserve">Yabancı uyruklu kişilerin taraf olduğu ya da yurt dışında düzenlenmiş belgelerin değerlendirilmesini gerektiren miras dosyaları, uygulamada daha karmaşık ve dikkat gerektiren bir yapı arz eder. Bu tür dosyalarda hem usul hukuku hem de uygulanacak maddi hukuk bakımından özel kurallar gündeme gelir.</w:t>
      </w:r>
    </w:p>
    <w:p>
      <w:pPr>
        <w:pStyle w:val="Heading3"/>
        <w:spacing w:after="120" w:before="240"/>
        <w:jc w:val="left"/>
      </w:pPr>
      <w:r>
        <w:rPr>
          <w:rFonts w:ascii="Times New Roman" w:cs="Times New Roman" w:eastAsia="Times New Roman" w:hAnsi="Times New Roman"/>
          <w:b/>
          <w:bCs/>
          <w:color w:val="000000"/>
          <w:sz w:val="24"/>
          <w:szCs w:val="24"/>
        </w:rPr>
        <w:t xml:space="preserve">Uygulanacak Hukukun Tespiti: MÖHUK</w:t>
      </w:r>
    </w:p>
    <w:p>
      <w:pPr>
        <w:spacing w:after="160" w:before="0" w:line="360"/>
        <w:ind w:firstLine="360"/>
        <w:jc w:val="both"/>
      </w:pPr>
      <w:r>
        <w:rPr>
          <w:rFonts w:ascii="Times New Roman" w:cs="Times New Roman" w:eastAsia="Times New Roman" w:hAnsi="Times New Roman"/>
          <w:sz w:val="22"/>
          <w:szCs w:val="22"/>
        </w:rPr>
        <w:t xml:space="preserve">Yabancılık unsuru bulunan miras işlemlerinde 5718 sayılı Milletlerarası Özel Hukuk ve Usul Hukuku Hakkında Kanun (MÖHUK) hükümleri uygulanır. MÖHUK’un 20. maddesine göre miras, ölenin milli hukukuna tabidir. Ancak Türkiye’de bulunan taşınmazlar hakkında Türk hukuku uygulanır. Mirasın açılması sebepleri, iktisap ve taksim ise terekenin bulunduğu ülke hukukuna tabidir. Mirasçısız tereke devlete kalır.</w:t>
      </w:r>
    </w:p>
    <w:p>
      <w:pPr>
        <w:spacing w:after="160" w:before="0" w:line="360"/>
        <w:ind w:firstLine="360"/>
        <w:jc w:val="both"/>
      </w:pPr>
      <w:r>
        <w:rPr>
          <w:rFonts w:ascii="Times New Roman" w:cs="Times New Roman" w:eastAsia="Times New Roman" w:hAnsi="Times New Roman"/>
          <w:sz w:val="22"/>
          <w:szCs w:val="22"/>
        </w:rPr>
        <w:t xml:space="preserve">MÖHUK’un 43. maddesi uyarınca, miras davaları ölenin Türkiye’deki son yerleşim yeri mahkemesinde; son yerleşim yerinin Türkiye’de bulunmaması hâlinde terekeye dahil malların bulunduğu yer mahkemesinde görülür.</w:t>
      </w:r>
    </w:p>
    <w:p>
      <w:pPr>
        <w:pStyle w:val="Heading3"/>
        <w:spacing w:after="120" w:before="240"/>
        <w:jc w:val="left"/>
      </w:pPr>
      <w:r>
        <w:rPr>
          <w:rFonts w:ascii="Times New Roman" w:cs="Times New Roman" w:eastAsia="Times New Roman" w:hAnsi="Times New Roman"/>
          <w:b/>
          <w:bCs/>
          <w:color w:val="000000"/>
          <w:sz w:val="24"/>
          <w:szCs w:val="24"/>
        </w:rPr>
        <w:t xml:space="preserve">Yurt Dışından Temin Edilen Belgelerin Tasdiki</w:t>
      </w:r>
    </w:p>
    <w:p>
      <w:pPr>
        <w:spacing w:after="160" w:before="0" w:line="360"/>
        <w:ind w:firstLine="360"/>
        <w:jc w:val="both"/>
      </w:pPr>
      <w:r>
        <w:rPr>
          <w:rFonts w:ascii="Times New Roman" w:cs="Times New Roman" w:eastAsia="Times New Roman" w:hAnsi="Times New Roman"/>
          <w:sz w:val="22"/>
          <w:szCs w:val="22"/>
        </w:rPr>
        <w:t xml:space="preserve">Yabancı ülkelerde düzenlenmiş resmi belgelerin Türkiye’de kullanılabilmesi için, ilgili belgelerin usulüne uygun şekilde tasdik edilmesi gerekir. Tasdik yöntemi, belgenin düzenlendiği ülkenin 1961 tarihli Lahey Apostil Sözleşmesi’ne taraf olup olmamasına göre belirlenir.</w:t>
      </w:r>
    </w:p>
    <w:p>
      <w:pPr>
        <w:spacing w:after="160" w:before="0" w:line="360"/>
        <w:ind w:firstLine="360"/>
        <w:jc w:val="both"/>
      </w:pPr>
      <w:r>
        <w:rPr>
          <w:rFonts w:ascii="Times New Roman" w:cs="Times New Roman" w:eastAsia="Times New Roman" w:hAnsi="Times New Roman"/>
          <w:sz w:val="22"/>
          <w:szCs w:val="22"/>
        </w:rPr>
        <w:t xml:space="preserve">Lahey Apostil Sözleşmesi’ne taraf ülkelerde düzenlenen belgeler için apostil şerhi yeterlidir. Sözleşmeye taraf olmayan ülkelerden gelen belgeler için ise konsolosluk tasdik zinciri (belgeyi düzenleyen makam, ilgili ülkenin dışişleri bakanlığı ve Türk Konsolosluğu) uygulanır. Her iki hâlde de belgelerin yeminli tercüman tarafından yapılmış ve noter tarafından onaylanmış Türkçe tercümelerinin de dosyaya sunulması zorunludur.</w:t>
      </w:r>
    </w:p>
    <w:p>
      <w:pPr>
        <w:pStyle w:val="Heading3"/>
        <w:spacing w:after="120" w:before="240"/>
        <w:jc w:val="left"/>
      </w:pPr>
      <w:r>
        <w:rPr>
          <w:rFonts w:ascii="Times New Roman" w:cs="Times New Roman" w:eastAsia="Times New Roman" w:hAnsi="Times New Roman"/>
          <w:b/>
          <w:bCs/>
          <w:color w:val="000000"/>
          <w:sz w:val="24"/>
          <w:szCs w:val="24"/>
        </w:rPr>
        <w:t xml:space="preserve">Yabancı Mahkeme Kararlarının Tanınması ve Tenfizi</w:t>
      </w:r>
    </w:p>
    <w:p>
      <w:pPr>
        <w:spacing w:after="160" w:before="0" w:line="360"/>
        <w:ind w:firstLine="360"/>
        <w:jc w:val="both"/>
      </w:pPr>
      <w:r>
        <w:rPr>
          <w:rFonts w:ascii="Times New Roman" w:cs="Times New Roman" w:eastAsia="Times New Roman" w:hAnsi="Times New Roman"/>
          <w:sz w:val="22"/>
          <w:szCs w:val="22"/>
        </w:rPr>
        <w:t xml:space="preserve">Yabancı bir mahkemece verilmiş mirasçılık belgesi veya mirasla ilgili karar, kural olarak Türkiye’de doğrudan hüküm ifade etmez. Bu kararların Türkiye’de etki doğurabilmesi için MÖHUK’un 50 ve devamı maddeleri uyarınca tanıma veya tenfiz davası yoluyla Türk mahkemesi tarafından kabul edilmesi gerekir. Aksi hâlde yabancı belgeye dayanarak doğrudan tapu veya banka işlemi yapılması mümkün değildir.</w:t>
      </w:r>
    </w:p>
    <w:p>
      <w:pPr>
        <w:pStyle w:val="Heading3"/>
        <w:spacing w:after="120" w:before="240"/>
        <w:jc w:val="left"/>
      </w:pPr>
      <w:r>
        <w:rPr>
          <w:rFonts w:ascii="Times New Roman" w:cs="Times New Roman" w:eastAsia="Times New Roman" w:hAnsi="Times New Roman"/>
          <w:b/>
          <w:bCs/>
          <w:color w:val="000000"/>
          <w:sz w:val="24"/>
          <w:szCs w:val="24"/>
        </w:rPr>
        <w:t xml:space="preserve">Yabancılarda Türkiye’deki Taşınmazlara İlişkin Mütekabiliyet ve Sınırlamalar</w:t>
      </w:r>
    </w:p>
    <w:p>
      <w:pPr>
        <w:spacing w:after="160" w:before="0" w:line="360"/>
        <w:ind w:firstLine="360"/>
        <w:jc w:val="both"/>
      </w:pPr>
      <w:r>
        <w:rPr>
          <w:rFonts w:ascii="Times New Roman" w:cs="Times New Roman" w:eastAsia="Times New Roman" w:hAnsi="Times New Roman"/>
          <w:sz w:val="22"/>
          <w:szCs w:val="22"/>
        </w:rPr>
        <w:t xml:space="preserve">2644 sayılı Tapu Kanunu ve ilgili mevzuat uyarınca yabancı uyruklu gerçek kişilerin Türkiye’de taşınmaz edinmeleri belirli şartlara tabidir. Bu çerçevede, miras yoluyla taşınmaz iktisap eden yabancılar bakımından da Bakanlar Kurulu (Cumhurbaşkanlığı) tarafından belirlenen ülke ve sınırlama listeleri ile yüzölçümü sınırlamaları gündeme gelebilir. Edinilemeyecek taşınmazlar bakımından, mirasçıya Türk hukukunda öngörülen tasfiye ve bedele dönüştürme prosedürleri uygulanır.</w:t>
      </w:r>
    </w:p>
    <w:p>
      <w:pPr>
        <w:pStyle w:val="Heading3"/>
        <w:spacing w:after="120" w:before="240"/>
        <w:jc w:val="left"/>
      </w:pPr>
      <w:r>
        <w:rPr>
          <w:rFonts w:ascii="Times New Roman" w:cs="Times New Roman" w:eastAsia="Times New Roman" w:hAnsi="Times New Roman"/>
          <w:b/>
          <w:bCs/>
          <w:color w:val="000000"/>
          <w:sz w:val="24"/>
          <w:szCs w:val="24"/>
        </w:rPr>
        <w:t xml:space="preserve">Yabancı Uyruklu Kişilerden İstenebilecek Belgeler</w:t>
      </w:r>
    </w:p>
    <w:p>
      <w:pPr>
        <w:spacing w:after="160" w:before="0" w:line="360"/>
        <w:ind w:firstLine="360"/>
        <w:jc w:val="both"/>
      </w:pPr>
      <w:r>
        <w:rPr>
          <w:rFonts w:ascii="Times New Roman" w:cs="Times New Roman" w:eastAsia="Times New Roman" w:hAnsi="Times New Roman"/>
          <w:sz w:val="22"/>
          <w:szCs w:val="22"/>
        </w:rPr>
        <w:t xml:space="preserve">Uygulamada yabancı uyruklu mirasçı veya muris bakımından genel olarak aşağıdaki belgeler talep edilmektedir:</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Kişinin kendi ülkesinden alınmış mirasçılık belgesi (heir certificate / certificate of inheritance).</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Murise ait ölüm belgesi (death certificate).</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Aile bağlarını gösteren resmi kayıtlar (family record / civil registry).</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Pasaport veya kimlik belgesi sureti.</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Apostil şerhi veya konsolosluk tasdik zinciri ile onaylanmış belgeler.</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Yeminli tercüman tarafından düzenlenmiş ve noter onaylı Türkçe tercümeler.</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Gerektiğinde, yabancı ülkede düzenlenmiş vasiyetname veya mirasla ilgili mahkeme kararının tanıma/tenfiz işlemine ilişkin belgeler.</w:t>
      </w:r>
    </w:p>
    <w:p>
      <w:pPr>
        <w:spacing w:after="60" w:before="120" w:line="320"/>
        <w:ind w:left="360" w:right="360"/>
        <w:jc w:val="both"/>
      </w:pPr>
      <w:r>
        <w:rPr>
          <w:rFonts w:ascii="Times New Roman" w:cs="Times New Roman" w:eastAsia="Times New Roman" w:hAnsi="Times New Roman"/>
          <w:b/>
          <w:bCs/>
          <w:i/>
          <w:iCs/>
          <w:sz w:val="22"/>
          <w:szCs w:val="22"/>
        </w:rPr>
        <w:t xml:space="preserve">İlgili Yargıtay Kararı: </w:t>
      </w:r>
      <w:r>
        <w:rPr>
          <w:rFonts w:ascii="Times New Roman" w:cs="Times New Roman" w:eastAsia="Times New Roman" w:hAnsi="Times New Roman"/>
          <w:b/>
          <w:bCs/>
          <w:i/>
          <w:iCs/>
          <w:sz w:val="22"/>
          <w:szCs w:val="22"/>
        </w:rPr>
        <w:t xml:space="preserve">Yabancılık Unsuru ve Türk Mahkemesinin Yetkisi</w:t>
      </w:r>
    </w:p>
    <w:p>
      <w:pPr>
        <w:spacing w:after="240" w:before="0" w:line="320"/>
        <w:ind w:left="360" w:right="360"/>
        <w:jc w:val="both"/>
      </w:pPr>
      <w:r>
        <w:rPr>
          <w:rFonts w:ascii="Times New Roman" w:cs="Times New Roman" w:eastAsia="Times New Roman" w:hAnsi="Times New Roman"/>
          <w:i/>
          <w:iCs/>
          <w:sz w:val="22"/>
          <w:szCs w:val="22"/>
        </w:rPr>
        <w:t xml:space="preserve">Yargıtay, MÖHUK çerçevesinde Türkiye’de bulunan taşınmazlar bakımından Türk hukukunun uygulanacağını ve Türk mahkemelerinin yetkili olduğunu kabul etmektedir. Yabancı bir mahkeme tarafından verilmiş mirasçılık belgesinin Türkiye’deki taşınmazlar üzerinde doğrudan etki doğurmayacağı; ilgili kararın tanınması veya tenfizi olmaksızın hüküm ifade etmeyeceği yerleşik içtihattır.</w:t>
      </w:r>
    </w:p>
    <w:p>
      <w:pPr>
        <w:pStyle w:val="Heading2"/>
        <w:spacing w:after="160" w:before="360"/>
        <w:jc w:val="left"/>
      </w:pPr>
      <w:r>
        <w:rPr>
          <w:rFonts w:ascii="Times New Roman" w:cs="Times New Roman" w:eastAsia="Times New Roman" w:hAnsi="Times New Roman"/>
          <w:b/>
          <w:bCs/>
          <w:color w:val="000000"/>
          <w:sz w:val="26"/>
          <w:szCs w:val="26"/>
        </w:rPr>
        <w:t xml:space="preserve">Veraset ve İntikal Vergisi Yükümlülüğü</w:t>
      </w:r>
    </w:p>
    <w:p>
      <w:pPr>
        <w:spacing w:after="160" w:before="0" w:line="360"/>
        <w:ind w:firstLine="360"/>
        <w:jc w:val="both"/>
      </w:pPr>
      <w:r>
        <w:rPr>
          <w:rFonts w:ascii="Times New Roman" w:cs="Times New Roman" w:eastAsia="Times New Roman" w:hAnsi="Times New Roman"/>
          <w:sz w:val="22"/>
          <w:szCs w:val="22"/>
        </w:rPr>
        <w:t xml:space="preserve">Veraset ilamının düzenlenmiş olması, mirasçıları veraset ve intikal vergisi yükümlülüğünden muaf kılmaz. 7338 sayılı Veraset ve İntikal Vergisi Kanunu uyarınca mirasçılar, tereke malvarlığını ölümün gerçekleştiği yer vergi dairesine beyan etmek zorundadır. Beyanname, kural olarak ölümün Türkiye’de gerçekleşmesi hâlinde dört ay, yurt dışında gerçekleşmesi hâlinde ise altı ay içinde verilir.</w:t>
      </w:r>
    </w:p>
    <w:p>
      <w:pPr>
        <w:spacing w:after="160" w:before="0" w:line="360"/>
        <w:ind w:firstLine="360"/>
        <w:jc w:val="both"/>
      </w:pPr>
      <w:r>
        <w:rPr>
          <w:rFonts w:ascii="Times New Roman" w:cs="Times New Roman" w:eastAsia="Times New Roman" w:hAnsi="Times New Roman"/>
          <w:sz w:val="22"/>
          <w:szCs w:val="22"/>
        </w:rPr>
        <w:t xml:space="preserve">Beyan üzerine tahakkuk eden vergi, kanun gereğince taksitler hâlinde ödenir. Tapu siciline tescil veya banka hesaplarındaki paranın mirasçılara ödenmesi gibi pek çok işlem, vergi dairesinden alınacak ilişiksizlik veya ödendi yazısının ibrazına bağlıdır.</w:t>
      </w:r>
    </w:p>
    <w:p>
      <w:pPr>
        <w:pStyle w:val="Heading2"/>
        <w:spacing w:after="160" w:before="360"/>
        <w:jc w:val="left"/>
      </w:pPr>
      <w:r>
        <w:rPr>
          <w:rFonts w:ascii="Times New Roman" w:cs="Times New Roman" w:eastAsia="Times New Roman" w:hAnsi="Times New Roman"/>
          <w:b/>
          <w:bCs/>
          <w:color w:val="000000"/>
          <w:sz w:val="26"/>
          <w:szCs w:val="26"/>
        </w:rPr>
        <w:t xml:space="preserve">Uygulamada Sık Karşılaşılan Sorunlar</w:t>
      </w:r>
    </w:p>
    <w:p>
      <w:pPr>
        <w:spacing w:after="160" w:before="0" w:line="360"/>
        <w:ind w:firstLine="360"/>
        <w:jc w:val="both"/>
      </w:pPr>
      <w:r>
        <w:rPr>
          <w:rFonts w:ascii="Times New Roman" w:cs="Times New Roman" w:eastAsia="Times New Roman" w:hAnsi="Times New Roman"/>
          <w:sz w:val="22"/>
          <w:szCs w:val="22"/>
        </w:rPr>
        <w:t xml:space="preserve">Veraset ilamı süreçlerinde uygulamada sıkça karşılaşılan başlıca sorunlar şu şekilde sıralanabilir:</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Murisin nüfus kayıtlarında ad-soyad veya doğum tarihi bakımından tutarsızlık bulunması ve bu nedenle önce nüfus kaydının tashihi davası açılması ihtiyacı.</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Soybağı kurulmamış evlilik dışı çocukların mevcudiyetinin sonradan ortaya çıkması ve bu durumun veraset ilamının iptalini gerektirmesi.</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Yurt dışındaki mirasçıların adres ve nüfus bilgilerinin tespit edilememesi, tebligatın gecikmesi.</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Yabancı dilde düzenlenen belgelerin apostil veya konsolosluk tasdiki, yeminli tercüme ve noter onayı eksiklikleri.</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Vasiyetname bulunan dosyalarda vasiyetin açılması ve okunması işleminin tamamlanmasından önce veraset ilamı talebinde bulunulması.</w:t>
      </w:r>
    </w:p>
    <w:p>
      <w:pPr>
        <w:pStyle w:val="ListParagraph"/>
        <w:numPr>
          <w:ilvl w:val="0"/>
          <w:numId w:val="2"/>
        </w:numPr>
        <w:spacing w:after="80" w:before="0" w:line="320"/>
        <w:jc w:val="both"/>
      </w:pPr>
      <w:r>
        <w:rPr>
          <w:rFonts w:ascii="Times New Roman" w:cs="Times New Roman" w:eastAsia="Times New Roman" w:hAnsi="Times New Roman"/>
          <w:sz w:val="22"/>
          <w:szCs w:val="22"/>
        </w:rPr>
        <w:t xml:space="preserve">Hükmen reddin şartlarının bulunmasına rağmen mirasçıların terekeye sahiplenen davranışlarda bulunması ve bunun sonucu olarak ret hakkının kaybedilmesi.</w:t>
      </w:r>
    </w:p>
    <w:p>
      <w:pPr>
        <w:pStyle w:val="Heading2"/>
        <w:spacing w:after="160" w:before="360"/>
        <w:jc w:val="left"/>
      </w:pPr>
      <w:r>
        <w:rPr>
          <w:rFonts w:ascii="Times New Roman" w:cs="Times New Roman" w:eastAsia="Times New Roman" w:hAnsi="Times New Roman"/>
          <w:b/>
          <w:bCs/>
          <w:color w:val="000000"/>
          <w:sz w:val="26"/>
          <w:szCs w:val="26"/>
        </w:rPr>
        <w:t xml:space="preserve">Sonuç ve Değerlendirme</w:t>
      </w:r>
    </w:p>
    <w:p>
      <w:pPr>
        <w:spacing w:after="160" w:before="0" w:line="360"/>
        <w:ind w:firstLine="360"/>
        <w:jc w:val="both"/>
      </w:pPr>
      <w:r>
        <w:rPr>
          <w:rFonts w:ascii="Times New Roman" w:cs="Times New Roman" w:eastAsia="Times New Roman" w:hAnsi="Times New Roman"/>
          <w:sz w:val="22"/>
          <w:szCs w:val="22"/>
        </w:rPr>
        <w:t xml:space="preserve">Veraset ilamı, Türk miras hukukunda mirasçıların belirlenmesi ve miras haklarının kullanılabilmesi açısından vazgeçilmez bir hukuki araçtır. Sürecin doğru ve eksiksiz yürütülmesi, hem hukuki güvenliğin sağlanması hem de zaman ve maliyet kaybının önlenmesi bakımından büyük önem taşır.</w:t>
      </w:r>
    </w:p>
    <w:p>
      <w:pPr>
        <w:spacing w:after="160" w:before="0" w:line="360"/>
        <w:ind w:firstLine="360"/>
        <w:jc w:val="both"/>
      </w:pPr>
      <w:r>
        <w:rPr>
          <w:rFonts w:ascii="Times New Roman" w:cs="Times New Roman" w:eastAsia="Times New Roman" w:hAnsi="Times New Roman"/>
          <w:sz w:val="22"/>
          <w:szCs w:val="22"/>
        </w:rPr>
        <w:t xml:space="preserve">Yabancı uyruklu kişilerin taraf olduğu, vasiyetname içeren, terekede uyuşmazlık veya tereke borçları bulunan dosyalarda; veraset ilamı süreci tek başına yeterli olmayıp, mirasın reddi, tenkis, tapu iptal ve tescil, tanıma-tenfiz ile veraset ve intikal vergisi gibi pek çok hukuki süreçle bütünlük arz eder. Bu nedenle sürecin başından itibaren miras hukuku alanında deneyimli bir avukat tarafından planlanması ve yürütülmesi, mirasçıların haklarının korunması bakımından kritik önem taşır.</w:t>
      </w:r>
    </w:p>
    <w:p>
      <w:pPr>
        <w:spacing w:after="160" w:before="0" w:line="360"/>
        <w:ind w:firstLine="360"/>
        <w:jc w:val="both"/>
      </w:pPr>
      <w:r>
        <w:rPr>
          <w:rFonts w:ascii="Times New Roman" w:cs="Times New Roman" w:eastAsia="Times New Roman" w:hAnsi="Times New Roman"/>
          <w:sz w:val="22"/>
          <w:szCs w:val="22"/>
        </w:rPr>
        <w:t xml:space="preserve">İşbu çalışma, veraset ilamı süreci hakkında genel bilgi vermek amacıyla hazırlanmış olup, somut bir dosyaya ilişkin hukuki görüş veya tavsiye niteliğinde değildir. Her dosya kendine özgü maddi ve hukuki özellikler taşıdığından, her bir somut olayın ayrı ayrı değerlendirilmesi ve uzman bir hukukçudan görüş alınması tavsiye olunur.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55555"/>
        <w:sz w:val="18"/>
        <w:szCs w:val="18"/>
      </w:rPr>
      <w:t xml:space="preserve">Veraset İlamı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Veraset İlamı</dc:title>
  <dc:creator>Av. Necmettin Barman</dc:creator>
  <dc:description>Veraset İlamı Davası - Kapsamlı Hukuki Değerlendirme</dc:description>
  <cp:lastModifiedBy>Un-named</cp:lastModifiedBy>
  <cp:revision>1</cp:revision>
  <dcterms:created xsi:type="dcterms:W3CDTF">2026-05-13T14:14:34.775Z</dcterms:created>
  <dcterms:modified xsi:type="dcterms:W3CDTF">2026-05-13T14:14:34.792Z</dcterms:modified>
</cp:coreProperties>
</file>

<file path=docProps/custom.xml><?xml version="1.0" encoding="utf-8"?>
<Properties xmlns="http://schemas.openxmlformats.org/officeDocument/2006/custom-properties" xmlns:vt="http://schemas.openxmlformats.org/officeDocument/2006/docPropsVTypes"/>
</file>