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color w:val="000000"/>
        </w:rPr>
        <w:t xml:space="preserve">Yeşil Pasaport Nedir?</w:t>
      </w:r>
    </w:p>
    <w:p>
      <w:pPr>
        <w:spacing w:after="120"/>
        <w:jc w:val="both"/>
      </w:pPr>
      <w:r>
        <w:rPr>
          <w:rFonts w:ascii="Arial" w:cs="Arial" w:eastAsia="Arial" w:hAnsi="Arial"/>
          <w:color w:val="000000"/>
          <w:sz w:val="22"/>
          <w:szCs w:val="22"/>
        </w:rPr>
        <w:t xml:space="preserve">Yeşil pasaport (resmî adıyla hususi damgalı pasaport), normal bordo pasaportun avantajlarına ek olarak birçok ülkeye vizesiz veya kolaylaştırılmış vize ile giriş imkânı sağlayan özel bir pasaport türüdür. Yeşil pasaportla vizesiz seyahat edilebilecek ülkeler arasında Schengen Bölgesi ülkeleri de yer almaktadır.</w:t>
      </w:r>
    </w:p>
    <w:p>
      <w:pPr>
        <w:spacing w:after="80"/>
      </w:pPr>
      <w:r>
        <w:t xml:space="preserve"/>
      </w:r>
    </w:p>
    <w:p>
      <w:pPr>
        <w:pStyle w:val="Heading1"/>
      </w:pPr>
      <w:r>
        <w:rPr>
          <w:rFonts w:ascii="Arial" w:cs="Arial" w:eastAsia="Arial" w:hAnsi="Arial"/>
          <w:b/>
          <w:bCs/>
          <w:color w:val="000000"/>
        </w:rPr>
        <w:t xml:space="preserve">İhracatçı Şirketlere Tanınan Yeşil Pasaport Hakkı Nedir?</w:t>
      </w:r>
    </w:p>
    <w:p>
      <w:pPr>
        <w:spacing w:after="120"/>
        <w:jc w:val="both"/>
      </w:pPr>
      <w:r>
        <w:rPr>
          <w:rFonts w:ascii="Arial" w:cs="Arial" w:eastAsia="Arial" w:hAnsi="Arial"/>
          <w:color w:val="000000"/>
          <w:sz w:val="22"/>
          <w:szCs w:val="22"/>
        </w:rPr>
        <w:t xml:space="preserve">Belirli bir ihracat hacmine ulaşan firmalara, sınırlı sayıda şirket sahibi, ortağı veya çalışanı için yeşil pasaport hakkı tanınmaktadır. Bu uygulamada ölçüt olarak son üç yılda gerçekleştirilen ortalama ihracatın en az 500.000 ABD Doları olması aranmaktadır.</w:t>
      </w:r>
    </w:p>
    <w:p>
      <w:pPr>
        <w:spacing w:after="120"/>
        <w:jc w:val="both"/>
      </w:pPr>
      <w:r>
        <w:rPr>
          <w:rFonts w:ascii="Arial" w:cs="Arial" w:eastAsia="Arial" w:hAnsi="Arial"/>
          <w:color w:val="000000"/>
          <w:sz w:val="22"/>
          <w:szCs w:val="22"/>
        </w:rPr>
        <w:t xml:space="preserve">Söz konusu uygulama, ihracatı teşvik amacıyla Ticaret Bakanlığı ve Türkiye İhracatçılar Meclisi koordinasyonunda yürütülmektedir.</w:t>
      </w:r>
    </w:p>
    <w:p>
      <w:pPr>
        <w:spacing w:after="80"/>
      </w:pPr>
      <w:r>
        <w:t xml:space="preserve"/>
      </w:r>
    </w:p>
    <w:p>
      <w:pPr>
        <w:pStyle w:val="Heading1"/>
      </w:pPr>
      <w:r>
        <w:rPr>
          <w:rFonts w:ascii="Arial" w:cs="Arial" w:eastAsia="Arial" w:hAnsi="Arial"/>
          <w:b/>
          <w:bCs/>
          <w:color w:val="000000"/>
        </w:rPr>
        <w:t xml:space="preserve">İhracatçı Şirketlerin Yeşil Pasaport Almaya Hak Kazanma Şartları</w:t>
      </w:r>
    </w:p>
    <w:p>
      <w:pPr>
        <w:spacing w:after="120"/>
        <w:jc w:val="both"/>
      </w:pPr>
      <w:r>
        <w:rPr>
          <w:rFonts w:ascii="Arial" w:cs="Arial" w:eastAsia="Arial" w:hAnsi="Arial"/>
          <w:color w:val="000000"/>
          <w:sz w:val="22"/>
          <w:szCs w:val="22"/>
        </w:rPr>
        <w:t xml:space="preserve">Devlet, ihracatı teşvik etmek amacıyla belirli bir ihracat hacmine ulaşan firmalara sınırlı sayıda yeşil pasaport (hususi damgalı pasaport) hakkı tanımaktadır.</w:t>
      </w:r>
    </w:p>
    <w:p>
      <w:pPr>
        <w:pStyle w:val="Heading2"/>
      </w:pPr>
      <w:r>
        <w:rPr>
          <w:rFonts w:ascii="Arial" w:cs="Arial" w:eastAsia="Arial" w:hAnsi="Arial"/>
          <w:b/>
          <w:bCs/>
          <w:color w:val="000000"/>
        </w:rPr>
        <w:t xml:space="preserve">Kimler Başvurabilir?</w:t>
      </w:r>
    </w:p>
    <w:p>
      <w:pPr>
        <w:pStyle w:val="ListParagraph"/>
        <w:numPr>
          <w:ilvl w:val="0"/>
          <w:numId w:val="2"/>
        </w:numPr>
        <w:jc w:val="both"/>
      </w:pPr>
      <w:r>
        <w:rPr>
          <w:rFonts w:ascii="Arial" w:cs="Arial" w:eastAsia="Arial" w:hAnsi="Arial"/>
          <w:color w:val="000000"/>
          <w:sz w:val="22"/>
          <w:szCs w:val="22"/>
        </w:rPr>
        <w:t xml:space="preserve">Şirket sahibi</w:t>
      </w:r>
    </w:p>
    <w:p>
      <w:pPr>
        <w:pStyle w:val="ListParagraph"/>
        <w:numPr>
          <w:ilvl w:val="0"/>
          <w:numId w:val="2"/>
        </w:numPr>
        <w:jc w:val="both"/>
      </w:pPr>
      <w:r>
        <w:rPr>
          <w:rFonts w:ascii="Arial" w:cs="Arial" w:eastAsia="Arial" w:hAnsi="Arial"/>
          <w:color w:val="000000"/>
          <w:sz w:val="22"/>
          <w:szCs w:val="22"/>
        </w:rPr>
        <w:t xml:space="preserve">Şirket ortağı</w:t>
      </w:r>
    </w:p>
    <w:p>
      <w:pPr>
        <w:pStyle w:val="ListParagraph"/>
        <w:numPr>
          <w:ilvl w:val="0"/>
          <w:numId w:val="2"/>
        </w:numPr>
        <w:jc w:val="both"/>
      </w:pPr>
      <w:r>
        <w:rPr>
          <w:rFonts w:ascii="Arial" w:cs="Arial" w:eastAsia="Arial" w:hAnsi="Arial"/>
          <w:color w:val="000000"/>
          <w:sz w:val="22"/>
          <w:szCs w:val="22"/>
        </w:rPr>
        <w:t xml:space="preserve">Şirkette çalışan ve yetkilendirilen kişiler (genellikle yönetici düzeyinde)</w:t>
      </w:r>
    </w:p>
    <w:p>
      <w:pPr>
        <w:spacing w:after="80"/>
      </w:pPr>
      <w:r>
        <w:t xml:space="preserve"/>
      </w:r>
    </w:p>
    <w:p>
      <w:pPr>
        <w:pStyle w:val="Heading2"/>
      </w:pPr>
      <w:r>
        <w:rPr>
          <w:rFonts w:ascii="Arial" w:cs="Arial" w:eastAsia="Arial" w:hAnsi="Arial"/>
          <w:b/>
          <w:bCs/>
          <w:color w:val="000000"/>
        </w:rPr>
        <w:t xml:space="preserve">Başvuru Koşulları Nelerdir?</w:t>
      </w:r>
    </w:p>
    <w:p>
      <w:pPr>
        <w:pStyle w:val="ListParagraph"/>
        <w:numPr>
          <w:ilvl w:val="0"/>
          <w:numId w:val="2"/>
        </w:numPr>
        <w:jc w:val="both"/>
      </w:pPr>
      <w:r>
        <w:rPr>
          <w:rFonts w:ascii="Arial" w:cs="Arial" w:eastAsia="Arial" w:hAnsi="Arial"/>
          <w:color w:val="000000"/>
          <w:sz w:val="22"/>
          <w:szCs w:val="22"/>
        </w:rPr>
        <w:t xml:space="preserve">Son üç takvim yılında ortalama en az 500.000 ABD Doları ihracat yapılmış olması</w:t>
      </w:r>
    </w:p>
    <w:p>
      <w:pPr>
        <w:pStyle w:val="ListParagraph"/>
        <w:numPr>
          <w:ilvl w:val="0"/>
          <w:numId w:val="2"/>
        </w:numPr>
        <w:jc w:val="both"/>
      </w:pPr>
      <w:r>
        <w:rPr>
          <w:rFonts w:ascii="Arial" w:cs="Arial" w:eastAsia="Arial" w:hAnsi="Arial"/>
          <w:color w:val="000000"/>
          <w:sz w:val="22"/>
          <w:szCs w:val="22"/>
        </w:rPr>
        <w:t xml:space="preserve">Şirketin aktif ve düzenli ihracat faaliyetinde bulunması</w:t>
      </w:r>
    </w:p>
    <w:p>
      <w:pPr>
        <w:pStyle w:val="ListParagraph"/>
        <w:numPr>
          <w:ilvl w:val="0"/>
          <w:numId w:val="2"/>
        </w:numPr>
        <w:jc w:val="both"/>
      </w:pPr>
      <w:r>
        <w:rPr>
          <w:rFonts w:ascii="Arial" w:cs="Arial" w:eastAsia="Arial" w:hAnsi="Arial"/>
          <w:color w:val="000000"/>
          <w:sz w:val="22"/>
          <w:szCs w:val="22"/>
        </w:rPr>
        <w:t xml:space="preserve">Başvurunun Ticaret Bakanlığı onayıyla gerçekleştirilmesi (süreç genellikle Türkiye İhracatçılar Meclisi üzerinden yürütülür)</w:t>
      </w:r>
    </w:p>
    <w:p>
      <w:pPr>
        <w:pStyle w:val="ListParagraph"/>
        <w:numPr>
          <w:ilvl w:val="0"/>
          <w:numId w:val="2"/>
        </w:numPr>
        <w:jc w:val="both"/>
      </w:pPr>
      <w:r>
        <w:rPr>
          <w:rFonts w:ascii="Arial" w:cs="Arial" w:eastAsia="Arial" w:hAnsi="Arial"/>
          <w:color w:val="000000"/>
          <w:sz w:val="22"/>
          <w:szCs w:val="22"/>
        </w:rPr>
        <w:t xml:space="preserve">Verilecek pasaport sayısının ihracat tutarına göre belirlenmesi</w:t>
      </w:r>
    </w:p>
    <w:p>
      <w:pPr>
        <w:spacing w:after="80"/>
      </w:pPr>
      <w:r>
        <w:t xml:space="preserve"/>
      </w:r>
    </w:p>
    <w:p>
      <w:pPr>
        <w:pStyle w:val="Heading2"/>
      </w:pPr>
      <w:r>
        <w:rPr>
          <w:rFonts w:ascii="Arial" w:cs="Arial" w:eastAsia="Arial" w:hAnsi="Arial"/>
          <w:b/>
          <w:bCs/>
          <w:color w:val="000000"/>
        </w:rPr>
        <w:t xml:space="preserve">İhracat Tutarına Göre Pasaport Hakkı</w:t>
      </w:r>
    </w:p>
    <w:p>
      <w:pPr>
        <w:spacing w:after="120"/>
        <w:jc w:val="both"/>
      </w:pPr>
      <w:r>
        <w:rPr>
          <w:rFonts w:ascii="Arial" w:cs="Arial" w:eastAsia="Arial" w:hAnsi="Arial"/>
          <w:color w:val="000000"/>
          <w:sz w:val="22"/>
          <w:szCs w:val="22"/>
        </w:rPr>
        <w:t xml:space="preserve">Aşağıdaki tabloda, son üç yılın ortalama ihracat değerine göre hak kazanılabilecek yeşil pasaport sayıları gösterilmektedir.</w:t>
      </w:r>
    </w:p>
    <w:p>
      <w:pPr>
        <w:spacing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tcBorders>
              <w:top w:val="single" w:color="AAAAAA" w:sz="8"/>
              <w:left w:val="single" w:color="AAAAAA" w:sz="8"/>
              <w:bottom w:val="single" w:color="AAAAAA" w:sz="8"/>
              <w:right w:val="single" w:color="AAAAAA" w:sz="8"/>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Ortalama Yıllık İhracat (Son 3 Yıl)</w:t>
            </w:r>
          </w:p>
        </w:tc>
        <w:tc>
          <w:tcPr>
            <w:tcW w:type="dxa" w:w="4500"/>
            <w:tcBorders>
              <w:top w:val="single" w:color="AAAAAA" w:sz="8"/>
              <w:left w:val="single" w:color="AAAAAA" w:sz="8"/>
              <w:bottom w:val="single" w:color="AAAAAA" w:sz="8"/>
              <w:right w:val="single" w:color="AAAAAA" w:sz="8"/>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Verilebilecek Yeşil Pasaport Sayısı</w:t>
            </w:r>
          </w:p>
        </w:tc>
      </w:tr>
      <w:tr>
        <w:tc>
          <w:tcPr>
            <w:tcW w:type="dxa" w:w="4500"/>
            <w:tcBorders>
              <w:top w:val="single" w:color="AAAAAA" w:sz="8"/>
              <w:left w:val="single" w:color="AAAAAA" w:sz="8"/>
              <w:bottom w:val="single" w:color="AAAAAA" w:sz="8"/>
              <w:right w:val="single" w:color="AAAAAA" w:sz="8"/>
            </w:tcBorders>
            <w:shd w:fill="FFFFFF" w:val="clear"/>
            <w:tcMar>
              <w:top w:type="dxa" w:w="100"/>
              <w:left w:type="dxa" w:w="150"/>
              <w:bottom w:type="dxa" w:w="100"/>
              <w:right w:type="dxa" w:w="150"/>
            </w:tcMar>
            <w:vAlign w:val="center"/>
          </w:tcPr>
          <w:p>
            <w:pPr>
              <w:jc w:val="left"/>
            </w:pPr>
            <w:r>
              <w:rPr>
                <w:rFonts w:ascii="Arial" w:cs="Arial" w:eastAsia="Arial" w:hAnsi="Arial"/>
                <w:color w:val="000000"/>
                <w:sz w:val="22"/>
                <w:szCs w:val="22"/>
              </w:rPr>
              <w:t xml:space="preserve">500.000 – 10.000.000 USD</w:t>
            </w:r>
          </w:p>
        </w:tc>
        <w:tc>
          <w:tcPr>
            <w:tcW w:type="dxa" w:w="4500"/>
            <w:tcBorders>
              <w:top w:val="single" w:color="AAAAAA" w:sz="8"/>
              <w:left w:val="single" w:color="AAAAAA" w:sz="8"/>
              <w:bottom w:val="single" w:color="AAAAAA" w:sz="8"/>
              <w:right w:val="single" w:color="AAAAAA" w:sz="8"/>
            </w:tcBorders>
            <w:shd w:fill="FFFFFF" w:val="clear"/>
            <w:tcMar>
              <w:top w:type="dxa" w:w="100"/>
              <w:left w:type="dxa" w:w="150"/>
              <w:bottom w:type="dxa" w:w="100"/>
              <w:right w:type="dxa" w:w="150"/>
            </w:tcMar>
            <w:vAlign w:val="center"/>
          </w:tcPr>
          <w:p>
            <w:pPr>
              <w:jc w:val="center"/>
            </w:pPr>
            <w:r>
              <w:rPr>
                <w:rFonts w:ascii="Arial" w:cs="Arial" w:eastAsia="Arial" w:hAnsi="Arial"/>
                <w:color w:val="000000"/>
                <w:sz w:val="22"/>
                <w:szCs w:val="22"/>
              </w:rPr>
              <w:t xml:space="preserve">1 kişi</w:t>
            </w:r>
          </w:p>
        </w:tc>
      </w:tr>
      <w:tr>
        <w:tc>
          <w:tcPr>
            <w:tcW w:type="dxa" w:w="4500"/>
            <w:tcBorders>
              <w:top w:val="single" w:color="AAAAAA" w:sz="8"/>
              <w:left w:val="single" w:color="AAAAAA" w:sz="8"/>
              <w:bottom w:val="single" w:color="AAAAAA" w:sz="8"/>
              <w:right w:val="single" w:color="AAAAAA" w:sz="8"/>
            </w:tcBorders>
            <w:shd w:fill="E8EEF7" w:val="clear"/>
            <w:tcMar>
              <w:top w:type="dxa" w:w="100"/>
              <w:left w:type="dxa" w:w="150"/>
              <w:bottom w:type="dxa" w:w="100"/>
              <w:right w:type="dxa" w:w="150"/>
            </w:tcMar>
            <w:vAlign w:val="center"/>
          </w:tcPr>
          <w:p>
            <w:pPr>
              <w:jc w:val="left"/>
            </w:pPr>
            <w:r>
              <w:rPr>
                <w:rFonts w:ascii="Arial" w:cs="Arial" w:eastAsia="Arial" w:hAnsi="Arial"/>
                <w:color w:val="000000"/>
                <w:sz w:val="22"/>
                <w:szCs w:val="22"/>
              </w:rPr>
              <w:t xml:space="preserve">10.000.001 – 25.000.000 USD</w:t>
            </w:r>
          </w:p>
        </w:tc>
        <w:tc>
          <w:tcPr>
            <w:tcW w:type="dxa" w:w="4500"/>
            <w:tcBorders>
              <w:top w:val="single" w:color="AAAAAA" w:sz="8"/>
              <w:left w:val="single" w:color="AAAAAA" w:sz="8"/>
              <w:bottom w:val="single" w:color="AAAAAA" w:sz="8"/>
              <w:right w:val="single" w:color="AAAAAA" w:sz="8"/>
            </w:tcBorders>
            <w:shd w:fill="E8EEF7" w:val="clear"/>
            <w:tcMar>
              <w:top w:type="dxa" w:w="100"/>
              <w:left w:type="dxa" w:w="150"/>
              <w:bottom w:type="dxa" w:w="100"/>
              <w:right w:type="dxa" w:w="150"/>
            </w:tcMar>
            <w:vAlign w:val="center"/>
          </w:tcPr>
          <w:p>
            <w:pPr>
              <w:jc w:val="center"/>
            </w:pPr>
            <w:r>
              <w:rPr>
                <w:rFonts w:ascii="Arial" w:cs="Arial" w:eastAsia="Arial" w:hAnsi="Arial"/>
                <w:color w:val="000000"/>
                <w:sz w:val="22"/>
                <w:szCs w:val="22"/>
              </w:rPr>
              <w:t xml:space="preserve">2 kişi</w:t>
            </w:r>
          </w:p>
        </w:tc>
      </w:tr>
      <w:tr>
        <w:tc>
          <w:tcPr>
            <w:tcW w:type="dxa" w:w="4500"/>
            <w:tcBorders>
              <w:top w:val="single" w:color="AAAAAA" w:sz="8"/>
              <w:left w:val="single" w:color="AAAAAA" w:sz="8"/>
              <w:bottom w:val="single" w:color="AAAAAA" w:sz="8"/>
              <w:right w:val="single" w:color="AAAAAA" w:sz="8"/>
            </w:tcBorders>
            <w:shd w:fill="FFFFFF" w:val="clear"/>
            <w:tcMar>
              <w:top w:type="dxa" w:w="100"/>
              <w:left w:type="dxa" w:w="150"/>
              <w:bottom w:type="dxa" w:w="100"/>
              <w:right w:type="dxa" w:w="150"/>
            </w:tcMar>
            <w:vAlign w:val="center"/>
          </w:tcPr>
          <w:p>
            <w:pPr>
              <w:jc w:val="left"/>
            </w:pPr>
            <w:r>
              <w:rPr>
                <w:rFonts w:ascii="Arial" w:cs="Arial" w:eastAsia="Arial" w:hAnsi="Arial"/>
                <w:color w:val="000000"/>
                <w:sz w:val="22"/>
                <w:szCs w:val="22"/>
              </w:rPr>
              <w:t xml:space="preserve">25.000.001 – 50.000.000 USD</w:t>
            </w:r>
          </w:p>
        </w:tc>
        <w:tc>
          <w:tcPr>
            <w:tcW w:type="dxa" w:w="4500"/>
            <w:tcBorders>
              <w:top w:val="single" w:color="AAAAAA" w:sz="8"/>
              <w:left w:val="single" w:color="AAAAAA" w:sz="8"/>
              <w:bottom w:val="single" w:color="AAAAAA" w:sz="8"/>
              <w:right w:val="single" w:color="AAAAAA" w:sz="8"/>
            </w:tcBorders>
            <w:shd w:fill="FFFFFF" w:val="clear"/>
            <w:tcMar>
              <w:top w:type="dxa" w:w="100"/>
              <w:left w:type="dxa" w:w="150"/>
              <w:bottom w:type="dxa" w:w="100"/>
              <w:right w:type="dxa" w:w="150"/>
            </w:tcMar>
            <w:vAlign w:val="center"/>
          </w:tcPr>
          <w:p>
            <w:pPr>
              <w:jc w:val="center"/>
            </w:pPr>
            <w:r>
              <w:rPr>
                <w:rFonts w:ascii="Arial" w:cs="Arial" w:eastAsia="Arial" w:hAnsi="Arial"/>
                <w:color w:val="000000"/>
                <w:sz w:val="22"/>
                <w:szCs w:val="22"/>
              </w:rPr>
              <w:t xml:space="preserve">3 kişi</w:t>
            </w:r>
          </w:p>
        </w:tc>
      </w:tr>
      <w:tr>
        <w:tc>
          <w:tcPr>
            <w:tcW w:type="dxa" w:w="4500"/>
            <w:tcBorders>
              <w:top w:val="single" w:color="AAAAAA" w:sz="8"/>
              <w:left w:val="single" w:color="AAAAAA" w:sz="8"/>
              <w:bottom w:val="single" w:color="AAAAAA" w:sz="8"/>
              <w:right w:val="single" w:color="AAAAAA" w:sz="8"/>
            </w:tcBorders>
            <w:shd w:fill="E8EEF7" w:val="clear"/>
            <w:tcMar>
              <w:top w:type="dxa" w:w="100"/>
              <w:left w:type="dxa" w:w="150"/>
              <w:bottom w:type="dxa" w:w="100"/>
              <w:right w:type="dxa" w:w="150"/>
            </w:tcMar>
            <w:vAlign w:val="center"/>
          </w:tcPr>
          <w:p>
            <w:pPr>
              <w:jc w:val="left"/>
            </w:pPr>
            <w:r>
              <w:rPr>
                <w:rFonts w:ascii="Arial" w:cs="Arial" w:eastAsia="Arial" w:hAnsi="Arial"/>
                <w:color w:val="000000"/>
                <w:sz w:val="22"/>
                <w:szCs w:val="22"/>
              </w:rPr>
              <w:t xml:space="preserve">50.000.001 – 100.000.000 USD</w:t>
            </w:r>
          </w:p>
        </w:tc>
        <w:tc>
          <w:tcPr>
            <w:tcW w:type="dxa" w:w="4500"/>
            <w:tcBorders>
              <w:top w:val="single" w:color="AAAAAA" w:sz="8"/>
              <w:left w:val="single" w:color="AAAAAA" w:sz="8"/>
              <w:bottom w:val="single" w:color="AAAAAA" w:sz="8"/>
              <w:right w:val="single" w:color="AAAAAA" w:sz="8"/>
            </w:tcBorders>
            <w:shd w:fill="E8EEF7" w:val="clear"/>
            <w:tcMar>
              <w:top w:type="dxa" w:w="100"/>
              <w:left w:type="dxa" w:w="150"/>
              <w:bottom w:type="dxa" w:w="100"/>
              <w:right w:type="dxa" w:w="150"/>
            </w:tcMar>
            <w:vAlign w:val="center"/>
          </w:tcPr>
          <w:p>
            <w:pPr>
              <w:jc w:val="center"/>
            </w:pPr>
            <w:r>
              <w:rPr>
                <w:rFonts w:ascii="Arial" w:cs="Arial" w:eastAsia="Arial" w:hAnsi="Arial"/>
                <w:color w:val="000000"/>
                <w:sz w:val="22"/>
                <w:szCs w:val="22"/>
              </w:rPr>
              <w:t xml:space="preserve">4 kişi</w:t>
            </w:r>
          </w:p>
        </w:tc>
      </w:tr>
      <w:tr>
        <w:tc>
          <w:tcPr>
            <w:tcW w:type="dxa" w:w="4500"/>
            <w:tcBorders>
              <w:top w:val="single" w:color="AAAAAA" w:sz="8"/>
              <w:left w:val="single" w:color="AAAAAA" w:sz="8"/>
              <w:bottom w:val="single" w:color="AAAAAA" w:sz="8"/>
              <w:right w:val="single" w:color="AAAAAA" w:sz="8"/>
            </w:tcBorders>
            <w:shd w:fill="FFFFFF" w:val="clear"/>
            <w:tcMar>
              <w:top w:type="dxa" w:w="100"/>
              <w:left w:type="dxa" w:w="150"/>
              <w:bottom w:type="dxa" w:w="100"/>
              <w:right w:type="dxa" w:w="150"/>
            </w:tcMar>
            <w:vAlign w:val="center"/>
          </w:tcPr>
          <w:p>
            <w:pPr>
              <w:jc w:val="left"/>
            </w:pPr>
            <w:r>
              <w:rPr>
                <w:rFonts w:ascii="Arial" w:cs="Arial" w:eastAsia="Arial" w:hAnsi="Arial"/>
                <w:color w:val="000000"/>
                <w:sz w:val="22"/>
                <w:szCs w:val="22"/>
              </w:rPr>
              <w:t xml:space="preserve">100.000.001 USD ve üzeri</w:t>
            </w:r>
          </w:p>
        </w:tc>
        <w:tc>
          <w:tcPr>
            <w:tcW w:type="dxa" w:w="4500"/>
            <w:tcBorders>
              <w:top w:val="single" w:color="AAAAAA" w:sz="8"/>
              <w:left w:val="single" w:color="AAAAAA" w:sz="8"/>
              <w:bottom w:val="single" w:color="AAAAAA" w:sz="8"/>
              <w:right w:val="single" w:color="AAAAAA" w:sz="8"/>
            </w:tcBorders>
            <w:shd w:fill="FFFFFF" w:val="clear"/>
            <w:tcMar>
              <w:top w:type="dxa" w:w="100"/>
              <w:left w:type="dxa" w:w="150"/>
              <w:bottom w:type="dxa" w:w="100"/>
              <w:right w:type="dxa" w:w="150"/>
            </w:tcMar>
            <w:vAlign w:val="center"/>
          </w:tcPr>
          <w:p>
            <w:pPr>
              <w:jc w:val="center"/>
            </w:pPr>
            <w:r>
              <w:rPr>
                <w:rFonts w:ascii="Arial" w:cs="Arial" w:eastAsia="Arial" w:hAnsi="Arial"/>
                <w:color w:val="000000"/>
                <w:sz w:val="22"/>
                <w:szCs w:val="22"/>
              </w:rPr>
              <w:t xml:space="preserve">5 kişi</w:t>
            </w:r>
          </w:p>
        </w:tc>
      </w:tr>
    </w:tbl>
    <w:p>
      <w:pPr>
        <w:spacing w:after="80"/>
      </w:pPr>
      <w:r>
        <w:t xml:space="preserve"/>
      </w:r>
    </w:p>
    <w:p>
      <w:pPr>
        <w:spacing w:after="120"/>
        <w:jc w:val="both"/>
      </w:pPr>
      <w:r>
        <w:rPr>
          <w:rFonts w:ascii="Arial" w:cs="Arial" w:eastAsia="Arial" w:hAnsi="Arial"/>
          <w:color w:val="000000"/>
          <w:sz w:val="22"/>
          <w:szCs w:val="22"/>
        </w:rPr>
        <w:t xml:space="preserve">Cari yılda gerçekleşen ihracatın tutarı, Ticaret Bakanlığı tarafından takip eden yılın Ocak ayında VEDOP ve TÜİK aracılığıyla ihracatçı birlikleriyle paylaşılmaktadır. Şartları taşıyan firma sahipleri, ihracatın gerçekleştiği yılı izleyen yılın Şubat ayından itibaren yeşil pasaport başvurusunda bulunabilmektedir.</w:t>
      </w:r>
    </w:p>
    <w:p>
      <w:pPr>
        <w:spacing w:after="80"/>
      </w:pPr>
      <w:r>
        <w:t xml:space="preserve"/>
      </w:r>
    </w:p>
    <w:p>
      <w:pPr>
        <w:pStyle w:val="Heading1"/>
      </w:pPr>
      <w:r>
        <w:rPr>
          <w:rFonts w:ascii="Arial" w:cs="Arial" w:eastAsia="Arial" w:hAnsi="Arial"/>
          <w:b/>
          <w:bCs/>
          <w:color w:val="000000"/>
        </w:rPr>
        <w:t xml:space="preserve">Hesaplamada Dikkate Alınmayan İhracat Türleri</w:t>
      </w:r>
    </w:p>
    <w:p>
      <w:pPr>
        <w:spacing w:after="120"/>
        <w:jc w:val="both"/>
      </w:pPr>
      <w:r>
        <w:rPr>
          <w:rFonts w:ascii="Arial" w:cs="Arial" w:eastAsia="Arial" w:hAnsi="Arial"/>
          <w:color w:val="000000"/>
          <w:sz w:val="22"/>
          <w:szCs w:val="22"/>
        </w:rPr>
        <w:t xml:space="preserve">Aşağıda belirtilen ihracat türleri, yeşil pasaport hakkına esas alınan ihracat hesaplamasında dikkate alınmamaktadır:</w:t>
      </w:r>
    </w:p>
    <w:p>
      <w:pPr>
        <w:pStyle w:val="ListParagraph"/>
        <w:numPr>
          <w:ilvl w:val="0"/>
          <w:numId w:val="2"/>
        </w:numPr>
        <w:jc w:val="both"/>
      </w:pPr>
      <w:r>
        <w:rPr>
          <w:rFonts w:ascii="Arial" w:cs="Arial" w:eastAsia="Arial" w:hAnsi="Arial"/>
          <w:color w:val="000000"/>
          <w:sz w:val="22"/>
          <w:szCs w:val="22"/>
        </w:rPr>
        <w:t xml:space="preserve">ETGB (Elektronik Ticaret Gümrük Beyannamesi) kapsamındaki ihracatlar</w:t>
      </w:r>
    </w:p>
    <w:p>
      <w:pPr>
        <w:pStyle w:val="ListParagraph"/>
        <w:numPr>
          <w:ilvl w:val="0"/>
          <w:numId w:val="2"/>
        </w:numPr>
        <w:jc w:val="both"/>
      </w:pPr>
      <w:r>
        <w:rPr>
          <w:rFonts w:ascii="Arial" w:cs="Arial" w:eastAsia="Arial" w:hAnsi="Arial"/>
          <w:color w:val="000000"/>
          <w:sz w:val="22"/>
          <w:szCs w:val="22"/>
        </w:rPr>
        <w:t xml:space="preserve">Özel fatura ile gerçekleştirilen ihracatlar</w:t>
      </w:r>
    </w:p>
    <w:p>
      <w:pPr>
        <w:pStyle w:val="ListParagraph"/>
        <w:numPr>
          <w:ilvl w:val="0"/>
          <w:numId w:val="2"/>
        </w:numPr>
        <w:jc w:val="both"/>
      </w:pPr>
      <w:r>
        <w:rPr>
          <w:rFonts w:ascii="Arial" w:cs="Arial" w:eastAsia="Arial" w:hAnsi="Arial"/>
          <w:color w:val="000000"/>
          <w:sz w:val="22"/>
          <w:szCs w:val="22"/>
        </w:rPr>
        <w:t xml:space="preserve">Transit ihracatlar</w:t>
      </w:r>
    </w:p>
    <w:p>
      <w:pPr>
        <w:pStyle w:val="ListParagraph"/>
        <w:numPr>
          <w:ilvl w:val="0"/>
          <w:numId w:val="2"/>
        </w:numPr>
        <w:jc w:val="both"/>
      </w:pPr>
      <w:r>
        <w:rPr>
          <w:rFonts w:ascii="Arial" w:cs="Arial" w:eastAsia="Arial" w:hAnsi="Arial"/>
          <w:color w:val="000000"/>
          <w:sz w:val="22"/>
          <w:szCs w:val="22"/>
        </w:rPr>
        <w:t xml:space="preserve">Serbest bölgelere yapılan ihracatlar</w:t>
      </w:r>
    </w:p>
    <w:p>
      <w:pPr>
        <w:spacing w:after="80"/>
      </w:pPr>
      <w:r>
        <w:t xml:space="preserve"/>
      </w:r>
    </w:p>
    <w:p>
      <w:pPr>
        <w:pStyle w:val="Heading1"/>
      </w:pPr>
      <w:r>
        <w:rPr>
          <w:rFonts w:ascii="Arial" w:cs="Arial" w:eastAsia="Arial" w:hAnsi="Arial"/>
          <w:b/>
          <w:bCs/>
          <w:color w:val="000000"/>
        </w:rPr>
        <w:t xml:space="preserve">Yeşil Pasaport Almaya Hak Kazanan Firma Yetkilileri</w:t>
      </w:r>
    </w:p>
    <w:p>
      <w:pPr>
        <w:spacing w:after="120"/>
        <w:jc w:val="both"/>
      </w:pPr>
      <w:r>
        <w:rPr>
          <w:rFonts w:ascii="Arial" w:cs="Arial" w:eastAsia="Arial" w:hAnsi="Arial"/>
          <w:color w:val="000000"/>
          <w:sz w:val="22"/>
          <w:szCs w:val="22"/>
        </w:rPr>
        <w:t xml:space="preserve">Yeşil pasaport hakkı kazanan şirketin E-SGK listesinde kayıtlı çalışanları ile hissedarları adına başvuruda bulunulabilmektedir. Çalışanlar için başvuru tarihinden geriye dönük üç aya ait SGK bildirgelerinin sunulması zorunludur. Hamiline hisse senedi sahipleri bu hak kapsamına dahil değildir.</w:t>
      </w:r>
    </w:p>
    <w:p>
      <w:pPr>
        <w:spacing w:after="120"/>
        <w:jc w:val="both"/>
      </w:pPr>
      <w:r>
        <w:rPr>
          <w:rFonts w:ascii="Arial" w:cs="Arial" w:eastAsia="Arial" w:hAnsi="Arial"/>
          <w:color w:val="000000"/>
          <w:sz w:val="22"/>
          <w:szCs w:val="22"/>
        </w:rPr>
        <w:t xml:space="preserve">Firmanın sahibi veya ortaklarının tüzel kişi olması durumunda, söz konusu tüzel kişiliğin sahiplerine, ortaklarına veya çalışanlarına da hususi damgalı pasaport verilebilmektedir.</w:t>
      </w:r>
    </w:p>
    <w:p>
      <w:pPr>
        <w:spacing w:after="80"/>
      </w:pPr>
      <w:r>
        <w:t xml:space="preserve"/>
      </w:r>
    </w:p>
    <w:p>
      <w:pPr>
        <w:pStyle w:val="Heading1"/>
      </w:pPr>
      <w:r>
        <w:rPr>
          <w:rFonts w:ascii="Arial" w:cs="Arial" w:eastAsia="Arial" w:hAnsi="Arial"/>
          <w:b/>
          <w:bCs/>
          <w:color w:val="000000"/>
        </w:rPr>
        <w:t xml:space="preserve">Yeşil Pasaport Hakkından Yararlanamayacak Kişiler</w:t>
      </w:r>
    </w:p>
    <w:p>
      <w:pPr>
        <w:spacing w:after="120"/>
        <w:jc w:val="both"/>
      </w:pPr>
      <w:r>
        <w:rPr>
          <w:rFonts w:ascii="Arial" w:cs="Arial" w:eastAsia="Arial" w:hAnsi="Arial"/>
          <w:color w:val="000000"/>
          <w:sz w:val="22"/>
          <w:szCs w:val="22"/>
        </w:rPr>
        <w:t xml:space="preserve">Şirkete dışarıdan atanan müdürler ya da yönetim kurulu üyeleri; hak kazanan şirketin E-SGK listesinde yer almıyorsa ve şirkette hissedarlığı bulunmuyorsa pasaport başvurusunda bulunamaz. Yalnızca huzur hakkı almak bu konuda yeterli sayılmamaktadır. Hamiline hisseler de geçerli kabul edilmemektedir.</w:t>
      </w:r>
    </w:p>
    <w:p>
      <w:pPr>
        <w:spacing w:after="120"/>
        <w:jc w:val="both"/>
      </w:pPr>
      <w:r>
        <w:rPr>
          <w:rFonts w:ascii="Arial" w:cs="Arial" w:eastAsia="Arial" w:hAnsi="Arial"/>
          <w:color w:val="000000"/>
          <w:sz w:val="22"/>
          <w:szCs w:val="22"/>
        </w:rPr>
        <w:t xml:space="preserve">Bunun yanı sıra aşağıdaki durumlardaki firmalar, ihracatçılara tanınan yeşil pasaport hakkından yararlanamaz:</w:t>
      </w:r>
    </w:p>
    <w:p>
      <w:pPr>
        <w:pStyle w:val="ListParagraph"/>
        <w:numPr>
          <w:ilvl w:val="0"/>
          <w:numId w:val="2"/>
        </w:numPr>
        <w:jc w:val="both"/>
      </w:pPr>
      <w:r>
        <w:rPr>
          <w:rFonts w:ascii="Arial" w:cs="Arial" w:eastAsia="Arial" w:hAnsi="Arial"/>
          <w:color w:val="000000"/>
          <w:sz w:val="22"/>
          <w:szCs w:val="22"/>
        </w:rPr>
        <w:t xml:space="preserve">İflas halindeki firmalar</w:t>
      </w:r>
    </w:p>
    <w:p>
      <w:pPr>
        <w:pStyle w:val="ListParagraph"/>
        <w:numPr>
          <w:ilvl w:val="0"/>
          <w:numId w:val="2"/>
        </w:numPr>
        <w:jc w:val="both"/>
      </w:pPr>
      <w:r>
        <w:rPr>
          <w:rFonts w:ascii="Arial" w:cs="Arial" w:eastAsia="Arial" w:hAnsi="Arial"/>
          <w:color w:val="000000"/>
          <w:sz w:val="22"/>
          <w:szCs w:val="22"/>
        </w:rPr>
        <w:t xml:space="preserve">Tasfiye sürecindeki firmalar</w:t>
      </w:r>
    </w:p>
    <w:p>
      <w:pPr>
        <w:pStyle w:val="ListParagraph"/>
        <w:numPr>
          <w:ilvl w:val="0"/>
          <w:numId w:val="2"/>
        </w:numPr>
        <w:jc w:val="both"/>
      </w:pPr>
      <w:r>
        <w:rPr>
          <w:rFonts w:ascii="Arial" w:cs="Arial" w:eastAsia="Arial" w:hAnsi="Arial"/>
          <w:color w:val="000000"/>
          <w:sz w:val="22"/>
          <w:szCs w:val="22"/>
        </w:rPr>
        <w:t xml:space="preserve">Geçici veya kesin konkordato mühleti içindeki firmalar</w:t>
      </w:r>
    </w:p>
    <w:p>
      <w:pPr>
        <w:pStyle w:val="ListParagraph"/>
        <w:numPr>
          <w:ilvl w:val="0"/>
          <w:numId w:val="2"/>
        </w:numPr>
        <w:jc w:val="both"/>
      </w:pPr>
      <w:r>
        <w:rPr>
          <w:rFonts w:ascii="Arial" w:cs="Arial" w:eastAsia="Arial" w:hAnsi="Arial"/>
          <w:color w:val="000000"/>
          <w:sz w:val="22"/>
          <w:szCs w:val="22"/>
        </w:rPr>
        <w:t xml:space="preserve">Tam bölünme gerçekleştirmiş firmalar</w:t>
      </w:r>
    </w:p>
    <w:p>
      <w:pPr>
        <w:spacing w:after="80"/>
      </w:pPr>
      <w:r>
        <w:t xml:space="preserve"/>
      </w:r>
    </w:p>
    <w:p>
      <w:pPr>
        <w:spacing w:after="120"/>
        <w:jc w:val="both"/>
      </w:pPr>
      <w:r>
        <w:rPr>
          <w:rFonts w:ascii="Arial" w:cs="Arial" w:eastAsia="Arial" w:hAnsi="Arial"/>
          <w:color w:val="000000"/>
          <w:sz w:val="22"/>
          <w:szCs w:val="22"/>
        </w:rPr>
        <w:t xml:space="preserve">İhracatçılara verilen yeşil pasaport, devlet memurlarında olduğu gibi başvuru sahibinin eş ve çocuklarına sağlanan imkânı kapsamaz. Eş ve çocuklar; kontenjan bulunması ve şirkette çalışıyor ya da ortak olmaları koşuluyla ayrıca başvuruda bulunabilir.</w:t>
      </w:r>
    </w:p>
    <w:p>
      <w:pPr>
        <w:spacing w:after="80"/>
      </w:pPr>
      <w:r>
        <w:t xml:space="preserve"/>
      </w:r>
    </w:p>
    <w:p>
      <w:pPr>
        <w:pStyle w:val="Heading1"/>
      </w:pPr>
      <w:r>
        <w:rPr>
          <w:rFonts w:ascii="Arial" w:cs="Arial" w:eastAsia="Arial" w:hAnsi="Arial"/>
          <w:b/>
          <w:bCs/>
          <w:color w:val="000000"/>
        </w:rPr>
        <w:t xml:space="preserve">Başvuru İçin Gerekli Belgeler</w:t>
      </w:r>
    </w:p>
    <w:p>
      <w:pPr>
        <w:spacing w:after="120"/>
        <w:jc w:val="both"/>
      </w:pPr>
      <w:r>
        <w:rPr>
          <w:rFonts w:ascii="Arial" w:cs="Arial" w:eastAsia="Arial" w:hAnsi="Arial"/>
          <w:color w:val="000000"/>
          <w:sz w:val="22"/>
          <w:szCs w:val="22"/>
        </w:rPr>
        <w:t xml:space="preserve">Yeşil pasaport başvurusu sırasında aşağıdaki belgeler talep edilmektedir:</w:t>
      </w:r>
    </w:p>
    <w:p>
      <w:pPr>
        <w:pStyle w:val="ListParagraph"/>
        <w:numPr>
          <w:ilvl w:val="0"/>
          <w:numId w:val="2"/>
        </w:numPr>
        <w:jc w:val="both"/>
      </w:pPr>
      <w:r>
        <w:rPr>
          <w:rFonts w:ascii="Arial" w:cs="Arial" w:eastAsia="Arial" w:hAnsi="Arial"/>
          <w:color w:val="000000"/>
          <w:sz w:val="22"/>
          <w:szCs w:val="22"/>
        </w:rPr>
        <w:t xml:space="preserve">Başvuru dilekçesi</w:t>
      </w:r>
    </w:p>
    <w:p>
      <w:pPr>
        <w:pStyle w:val="ListParagraph"/>
        <w:numPr>
          <w:ilvl w:val="0"/>
          <w:numId w:val="2"/>
        </w:numPr>
        <w:jc w:val="both"/>
      </w:pPr>
      <w:r>
        <w:rPr>
          <w:rFonts w:ascii="Arial" w:cs="Arial" w:eastAsia="Arial" w:hAnsi="Arial"/>
          <w:color w:val="000000"/>
          <w:sz w:val="22"/>
          <w:szCs w:val="22"/>
        </w:rPr>
        <w:t xml:space="preserve">Talep formu</w:t>
      </w:r>
    </w:p>
    <w:p>
      <w:pPr>
        <w:pStyle w:val="ListParagraph"/>
        <w:numPr>
          <w:ilvl w:val="0"/>
          <w:numId w:val="2"/>
        </w:numPr>
        <w:jc w:val="both"/>
      </w:pPr>
      <w:r>
        <w:rPr>
          <w:rFonts w:ascii="Arial" w:cs="Arial" w:eastAsia="Arial" w:hAnsi="Arial"/>
          <w:color w:val="000000"/>
          <w:sz w:val="22"/>
          <w:szCs w:val="22"/>
        </w:rPr>
        <w:t xml:space="preserve">Türkiye Ticaret Sicili Gazetesi'nden şirketin ortaklık durumunu gösteren yazı</w:t>
      </w:r>
    </w:p>
    <w:p>
      <w:pPr>
        <w:pStyle w:val="ListParagraph"/>
        <w:numPr>
          <w:ilvl w:val="0"/>
          <w:numId w:val="2"/>
        </w:numPr>
        <w:jc w:val="both"/>
      </w:pPr>
      <w:r>
        <w:rPr>
          <w:rFonts w:ascii="Arial" w:cs="Arial" w:eastAsia="Arial" w:hAnsi="Arial"/>
          <w:color w:val="000000"/>
          <w:sz w:val="22"/>
          <w:szCs w:val="22"/>
        </w:rPr>
        <w:t xml:space="preserve">Şirketi temsil ve ilzama yetkili kişinin imza sirküleri</w:t>
      </w:r>
    </w:p>
    <w:p>
      <w:pPr>
        <w:pStyle w:val="ListParagraph"/>
        <w:numPr>
          <w:ilvl w:val="0"/>
          <w:numId w:val="2"/>
        </w:numPr>
        <w:jc w:val="both"/>
      </w:pPr>
      <w:r>
        <w:rPr>
          <w:rFonts w:ascii="Arial" w:cs="Arial" w:eastAsia="Arial" w:hAnsi="Arial"/>
          <w:color w:val="000000"/>
          <w:sz w:val="22"/>
          <w:szCs w:val="22"/>
        </w:rPr>
        <w:t xml:space="preserve">Türkiye Cumhuriyeti Kimlik Kartı fotokopisi</w:t>
      </w:r>
    </w:p>
    <w:p>
      <w:pPr>
        <w:spacing w:after="80"/>
      </w:pPr>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00000"/>
      <w:sz w:val="34"/>
      <w:szCs w:val="34"/>
    </w:rPr>
  </w:style>
  <w:style w:type="paragraph" w:styleId="Heading2">
    <w:name w:val="Heading 2"/>
    <w:basedOn w:val="Normal"/>
    <w:next w:val="Normal"/>
    <w:qFormat/>
    <w:pPr>
      <w:spacing w:after="140" w:before="280"/>
      <w:outlineLvl w:val="1"/>
    </w:pPr>
    <w:rPr>
      <w:rFonts w:ascii="Arial" w:cs="Arial" w:eastAsia="Arial" w:hAnsi="Arial"/>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2026-05-12T07:37:35.581Z</dcterms:created>
  <dcterms:modified xsi:type="dcterms:W3CDTF">2026-05-12T07:37:35.581Z</dcterms:modified>
</cp:coreProperties>
</file>

<file path=docProps/custom.xml><?xml version="1.0" encoding="utf-8"?>
<Properties xmlns="http://schemas.openxmlformats.org/officeDocument/2006/custom-properties" xmlns:vt="http://schemas.openxmlformats.org/officeDocument/2006/docPropsVTypes"/>
</file>