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0496" w:rsidRDefault="0062728A">
      <w:pPr>
        <w:spacing w:after="60"/>
        <w:jc w:val="center"/>
      </w:pPr>
      <w:r>
        <w:rPr>
          <w:b/>
          <w:bCs/>
          <w:color w:val="1F3864"/>
          <w:sz w:val="24"/>
          <w:szCs w:val="24"/>
        </w:rPr>
        <w:t>National University of Lesotho</w:t>
      </w:r>
    </w:p>
    <w:p w:rsidR="00AA0496" w:rsidRDefault="0062728A">
      <w:pPr>
        <w:spacing w:after="60"/>
        <w:jc w:val="center"/>
      </w:pPr>
      <w:r>
        <w:rPr>
          <w:color w:val="444444"/>
        </w:rPr>
        <w:t>Department of Mathematics and Computer Science</w:t>
      </w:r>
    </w:p>
    <w:p w:rsidR="00AA0496" w:rsidRDefault="0062728A">
      <w:pPr>
        <w:spacing w:after="60"/>
        <w:jc w:val="center"/>
      </w:pPr>
      <w:r>
        <w:rPr>
          <w:b/>
          <w:bCs/>
          <w:i/>
          <w:iCs/>
        </w:rPr>
        <w:t>NUL Attendance Management System</w:t>
      </w:r>
    </w:p>
    <w:p w:rsidR="00AA0496" w:rsidRDefault="0062728A">
      <w:pPr>
        <w:spacing w:after="200"/>
        <w:jc w:val="center"/>
      </w:pPr>
      <w:r>
        <w:rPr>
          <w:color w:val="666666"/>
          <w:sz w:val="20"/>
          <w:szCs w:val="20"/>
        </w:rPr>
        <w:t>CS3430: System Analysis and Logical Design</w:t>
      </w:r>
    </w:p>
    <w:p w:rsidR="00AA0496" w:rsidRDefault="0062728A">
      <w:pPr>
        <w:pBdr>
          <w:bottom w:val="single" w:sz="10" w:space="4" w:color="2E75B6"/>
        </w:pBdr>
        <w:spacing w:after="60"/>
        <w:jc w:val="center"/>
      </w:pPr>
      <w:r>
        <w:rPr>
          <w:b/>
          <w:bCs/>
          <w:color w:val="1F3864"/>
          <w:sz w:val="40"/>
          <w:szCs w:val="40"/>
        </w:rPr>
        <w:t>Change Request Document</w:t>
      </w:r>
    </w:p>
    <w:p w:rsidR="00AA0496" w:rsidRDefault="0062728A">
      <w:pPr>
        <w:spacing w:before="160" w:after="400"/>
        <w:jc w:val="center"/>
      </w:pPr>
      <w:r>
        <w:rPr>
          <w:i/>
          <w:iCs/>
          <w:color w:val="555555"/>
        </w:rPr>
        <w:t>CR-001: Frontend Technology Stack Change — Python/TKinter to TypeScript &amp; React (TSX)</w:t>
      </w:r>
    </w:p>
    <w:p w:rsidR="00AA0496" w:rsidRDefault="0062728A">
      <w:pPr>
        <w:pStyle w:val="Heading1"/>
        <w:pBdr>
          <w:bottom w:val="single" w:sz="6" w:space="1" w:color="2E75B6"/>
        </w:pBdr>
        <w:spacing w:before="320" w:after="160"/>
      </w:pPr>
      <w:r>
        <w:rPr>
          <w:b/>
          <w:bCs/>
          <w:color w:val="1F3864"/>
          <w:sz w:val="28"/>
          <w:szCs w:val="28"/>
        </w:rPr>
        <w:t>Change Request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A049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Details</w:t>
            </w:r>
          </w:p>
        </w:tc>
      </w:tr>
      <w:tr w:rsidR="00AA049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Change Request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CR-001</w:t>
            </w:r>
          </w:p>
        </w:tc>
      </w:tr>
      <w:tr w:rsidR="00AA049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Date Submitted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16 March 2026</w:t>
            </w:r>
          </w:p>
        </w:tc>
      </w:tr>
      <w:tr w:rsidR="00AA049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Submitted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Manyeli, H.M. (202002241) — Design &amp; Execution</w:t>
            </w:r>
          </w:p>
        </w:tc>
      </w:tr>
      <w:tr w:rsidR="00AA049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NUL Attendance Management System</w:t>
            </w:r>
          </w:p>
        </w:tc>
      </w:tr>
      <w:tr w:rsidR="00AA049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Phase at Time of Change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Execution — Implementation (Week 5)</w:t>
            </w:r>
          </w:p>
        </w:tc>
      </w:tr>
      <w:tr w:rsidR="00AA049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Priority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High</w:t>
            </w:r>
          </w:p>
        </w:tc>
      </w:tr>
      <w:tr w:rsidR="00AA049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Approved &amp; Implemented</w:t>
            </w:r>
          </w:p>
        </w:tc>
      </w:tr>
    </w:tbl>
    <w:p w:rsidR="00AA0496" w:rsidRDefault="00AA0496">
      <w:pPr>
        <w:spacing w:after="200"/>
      </w:pPr>
    </w:p>
    <w:p w:rsidR="00AA0496" w:rsidRDefault="0062728A">
      <w:pPr>
        <w:pStyle w:val="Heading1"/>
        <w:pBdr>
          <w:bottom w:val="single" w:sz="6" w:space="1" w:color="2E75B6"/>
        </w:pBdr>
        <w:spacing w:before="320" w:after="160"/>
      </w:pPr>
      <w:r>
        <w:rPr>
          <w:b/>
          <w:bCs/>
          <w:color w:val="1F3864"/>
          <w:sz w:val="28"/>
          <w:szCs w:val="28"/>
        </w:rPr>
        <w:t>1. Description of Change</w:t>
      </w:r>
    </w:p>
    <w:p w:rsidR="00AA0496" w:rsidRDefault="0062728A">
      <w:pPr>
        <w:spacing w:before="80" w:after="80"/>
        <w:jc w:val="both"/>
      </w:pPr>
      <w:r>
        <w:t>This change request formally documents the decision to replace Python with TKinter as the frontend implementation technology with a modern web-based stack consisting of TypeScript, TSX (TypeScript XML — React's component syntax), HTML, and CSS.</w:t>
      </w:r>
    </w:p>
    <w:p w:rsidR="00AA0496" w:rsidRDefault="0062728A">
      <w:pPr>
        <w:spacing w:before="80" w:after="80"/>
        <w:jc w:val="both"/>
      </w:pPr>
      <w:r>
        <w:t>The change affects the Implementation deliverable under the SDLC and the project product deliverable under the Execution PM phase. All other deliverables, scope items, and timelines remain unchanged.</w:t>
      </w:r>
    </w:p>
    <w:p w:rsidR="00AA0496" w:rsidRDefault="00AA049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AA04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Component</w:t>
            </w:r>
          </w:p>
        </w:tc>
        <w:tc>
          <w:tcPr>
            <w:tcW w:w="3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Before Change</w:t>
            </w:r>
          </w:p>
        </w:tc>
        <w:tc>
          <w:tcPr>
            <w:tcW w:w="3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After Change</w:t>
            </w:r>
          </w:p>
        </w:tc>
      </w:tr>
      <w:tr w:rsidR="00AA04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Frontend Language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Python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TypeScript (TSX)</w:t>
            </w:r>
          </w:p>
        </w:tc>
      </w:tr>
      <w:tr w:rsidR="00AA04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UI Framework</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TKinter (Desktop GUI)</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React.js (Web)</w:t>
            </w:r>
          </w:p>
        </w:tc>
      </w:tr>
      <w:tr w:rsidR="00AA04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Markup</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TKinter Widget System</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B614D6">
            <w:r>
              <w:rPr>
                <w:color w:val="000000"/>
                <w:sz w:val="20"/>
                <w:szCs w:val="20"/>
              </w:rPr>
              <w:t>HTML</w:t>
            </w:r>
          </w:p>
        </w:tc>
      </w:tr>
      <w:tr w:rsidR="00AA04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Styling</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TKinter ttk styles</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B614D6">
            <w:r>
              <w:rPr>
                <w:color w:val="000000"/>
                <w:sz w:val="20"/>
                <w:szCs w:val="20"/>
              </w:rPr>
              <w:t>CSS</w:t>
            </w:r>
          </w:p>
        </w:tc>
      </w:tr>
      <w:tr w:rsidR="00AA04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File Extensions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.py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.tsx / .ts / .css</w:t>
            </w:r>
          </w:p>
        </w:tc>
      </w:tr>
      <w:tr w:rsidR="00AA04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Target Platform</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Desktop Application</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Web Browser</w:t>
            </w:r>
          </w:p>
        </w:tc>
      </w:tr>
      <w:tr w:rsidR="00AA04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Backend Compatibility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Required separate HTTP bridge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REST API calls</w:t>
            </w:r>
          </w:p>
        </w:tc>
      </w:tr>
    </w:tbl>
    <w:p w:rsidR="00AA0496" w:rsidRDefault="00AA0496">
      <w:pPr>
        <w:spacing w:after="200"/>
      </w:pPr>
    </w:p>
    <w:p w:rsidR="00AA0496" w:rsidRDefault="0062728A">
      <w:pPr>
        <w:pStyle w:val="Heading1"/>
        <w:pBdr>
          <w:bottom w:val="single" w:sz="6" w:space="1" w:color="2E75B6"/>
        </w:pBdr>
        <w:spacing w:before="320" w:after="160"/>
      </w:pPr>
      <w:r>
        <w:rPr>
          <w:b/>
          <w:bCs/>
          <w:color w:val="1F3864"/>
          <w:sz w:val="28"/>
          <w:szCs w:val="28"/>
        </w:rPr>
        <w:t>2. Reason for Change</w:t>
      </w:r>
    </w:p>
    <w:p w:rsidR="00AA0496" w:rsidRDefault="0062728A">
      <w:pPr>
        <w:pStyle w:val="Heading2"/>
        <w:spacing w:before="240" w:after="120"/>
      </w:pPr>
      <w:r>
        <w:rPr>
          <w:b/>
          <w:bCs/>
          <w:color w:val="2E75B6"/>
          <w:sz w:val="24"/>
          <w:szCs w:val="24"/>
        </w:rPr>
        <w:t>2.1 Figma-to-Code Workflow</w:t>
      </w:r>
    </w:p>
    <w:p w:rsidR="00AA0496" w:rsidRDefault="0062728A">
      <w:pPr>
        <w:spacing w:before="80" w:after="80"/>
        <w:jc w:val="both"/>
      </w:pPr>
      <w:r>
        <w:t>The project's UI/UX designs were produced in Figma, a browser-based design tool. Figma's output — layouts, components, colour values, spacing — maps directly and naturally onto HTML, CSS, and React (TSX) components. Translating Figma designs into TKinter widgets would have required a full manual re-interpretation of every design element, as TKinter has no concept of CSS, flexbox, or browser-native rendering.</w:t>
      </w:r>
    </w:p>
    <w:p w:rsidR="00AA0496" w:rsidRDefault="0062728A">
      <w:pPr>
        <w:spacing w:before="80" w:after="80"/>
        <w:jc w:val="both"/>
      </w:pPr>
      <w:r>
        <w:t>The TypeScript/React stack allowed developers to move from Figma prototype to coded component with minimal friction, preserving design intent and reducing development time.</w:t>
      </w:r>
    </w:p>
    <w:p w:rsidR="00AA0496" w:rsidRDefault="00AA0496">
      <w:pPr>
        <w:spacing w:after="160"/>
      </w:pPr>
    </w:p>
    <w:p w:rsidR="00AA0496" w:rsidRDefault="0062728A">
      <w:pPr>
        <w:pStyle w:val="Heading2"/>
        <w:spacing w:before="240" w:after="120"/>
      </w:pPr>
      <w:r>
        <w:rPr>
          <w:b/>
          <w:bCs/>
          <w:color w:val="2E75B6"/>
          <w:sz w:val="24"/>
          <w:szCs w:val="24"/>
        </w:rPr>
        <w:t>2.2 TKinter is a Desktop Framework — This is a Web Application</w:t>
      </w:r>
    </w:p>
    <w:p w:rsidR="00AA0496" w:rsidRDefault="0062728A">
      <w:pPr>
        <w:spacing w:before="80" w:after="80"/>
        <w:jc w:val="both"/>
      </w:pPr>
      <w:r>
        <w:t>The Project Scope Document explicitly defines the NUL Attendance Management System as a web-based application. TKinter is Python's native desktop GUI library and produces applications that run as standalone windows on a local machine. It cannot be accessed through a web browser, cannot be deployed as a website, and has no native mechanism for HTTP-based communication with a web server.</w:t>
      </w:r>
    </w:p>
    <w:p w:rsidR="00AA0496" w:rsidRDefault="0062728A">
      <w:pPr>
        <w:spacing w:before="80" w:after="80"/>
        <w:jc w:val="both"/>
      </w:pPr>
      <w:r>
        <w:t>Continuing with TKinter would have produced a deliverable that fundamentally contradicts the project's stated platform requirements. TypeScript and React are purpose-built for the web and fully compatible with the Node.js backend and MySQL database already in use.</w:t>
      </w:r>
    </w:p>
    <w:p w:rsidR="00AA0496" w:rsidRDefault="00AA0496">
      <w:pPr>
        <w:spacing w:after="200"/>
      </w:pPr>
    </w:p>
    <w:p w:rsidR="00AA0496" w:rsidRDefault="0062728A">
      <w:pPr>
        <w:pStyle w:val="Heading1"/>
        <w:pBdr>
          <w:bottom w:val="single" w:sz="6" w:space="1" w:color="2E75B6"/>
        </w:pBdr>
        <w:spacing w:before="320" w:after="160"/>
      </w:pPr>
      <w:r>
        <w:rPr>
          <w:b/>
          <w:bCs/>
          <w:color w:val="1F3864"/>
          <w:sz w:val="28"/>
          <w:szCs w:val="28"/>
        </w:rPr>
        <w:t>3. Impact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AA049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Impact Area</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Assessment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Severity</w:t>
            </w:r>
          </w:p>
        </w:tc>
      </w:tr>
      <w:tr w:rsidR="00AA049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Project Scope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No change — all functional requirements remain identical. Only the implementation technology changes.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None</w:t>
            </w:r>
          </w:p>
        </w:tc>
      </w:tr>
      <w:tr w:rsidR="00AA049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Project Schedule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Minor — approximately 3–4 days of learning overhead absorbed within the existing W5–W8 window.</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Low</w:t>
            </w:r>
          </w:p>
        </w:tc>
      </w:tr>
      <w:tr w:rsidR="00AA049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Cost / Budget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No impact — TypeScript, React, and all associated tooling are open-source and free.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None</w:t>
            </w:r>
          </w:p>
        </w:tc>
      </w:tr>
      <w:tr w:rsidR="00AA049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Code Quality</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Positive — TypeScript's static typing catches errors at compile time, improving reliability.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Positive</w:t>
            </w:r>
          </w:p>
        </w:tc>
      </w:tr>
      <w:tr w:rsidR="00AA049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Backend Integration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Positive — TypeScript/React integrates natively with Node.js via REST APIs.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Positive</w:t>
            </w:r>
          </w:p>
        </w:tc>
      </w:tr>
      <w:tr w:rsidR="00AA049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Team Skill Requirement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Moderate — team required on-the-job learning of TypeScript, TSX, and React patterns.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Moderate</w:t>
            </w:r>
          </w:p>
        </w:tc>
      </w:tr>
      <w:tr w:rsidR="00AA049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lastRenderedPageBreak/>
              <w:t>Documentation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Low — existing documents updated to reflect new stack (Tech Change Report produced separately).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Low</w:t>
            </w:r>
          </w:p>
        </w:tc>
      </w:tr>
    </w:tbl>
    <w:p w:rsidR="00AA0496" w:rsidRDefault="00AA0496">
      <w:pPr>
        <w:spacing w:after="200"/>
      </w:pPr>
    </w:p>
    <w:p w:rsidR="00AA0496" w:rsidRDefault="0062728A">
      <w:pPr>
        <w:pStyle w:val="Heading1"/>
        <w:pBdr>
          <w:bottom w:val="single" w:sz="6" w:space="1" w:color="2E75B6"/>
        </w:pBdr>
        <w:spacing w:before="320" w:after="160"/>
      </w:pPr>
      <w:r>
        <w:rPr>
          <w:b/>
          <w:bCs/>
          <w:color w:val="1F3864"/>
          <w:sz w:val="28"/>
          <w:szCs w:val="28"/>
        </w:rPr>
        <w:t>4. Implementation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4160"/>
        <w:gridCol w:w="2146"/>
        <w:gridCol w:w="2380"/>
      </w:tblGrid>
      <w:tr w:rsidR="00AA049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Step</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Action</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Owner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Status</w:t>
            </w:r>
          </w:p>
        </w:tc>
      </w:tr>
      <w:tr w:rsidR="00AA049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Remove all TKinter/Python frontend code from the repository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202321274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Complete</w:t>
            </w:r>
          </w:p>
        </w:tc>
      </w:tr>
      <w:tr w:rsidR="00AA049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Initialise React project with TypeScript template (create-react-app --template typescript)</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F55DAC">
            <w:r>
              <w:rPr>
                <w:color w:val="000000"/>
                <w:sz w:val="20"/>
                <w:szCs w:val="20"/>
              </w:rPr>
              <w:t>202322646</w:t>
            </w:r>
            <w:bookmarkStart w:id="0" w:name="_GoBack"/>
            <w:bookmarkEnd w:id="0"/>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Complete</w:t>
            </w:r>
          </w:p>
        </w:tc>
      </w:tr>
      <w:tr w:rsidR="00AA049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Set up folder structure: /components, /pages, /services, /types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F55DAC">
            <w:r>
              <w:rPr>
                <w:color w:val="000000"/>
                <w:sz w:val="20"/>
                <w:szCs w:val="20"/>
              </w:rPr>
              <w:t>202322646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Complete</w:t>
            </w:r>
          </w:p>
        </w:tc>
      </w:tr>
      <w:tr w:rsidR="00AA049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Recreate all Figma-designed screens as TSX components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F55DAC">
            <w:r>
              <w:rPr>
                <w:color w:val="000000"/>
                <w:sz w:val="20"/>
                <w:szCs w:val="20"/>
              </w:rPr>
              <w:t>202321274</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In Progress</w:t>
            </w:r>
          </w:p>
        </w:tc>
      </w:tr>
      <w:tr w:rsidR="00AA049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Connect TSX components to Node.js API endpoints via fetch/axios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F55DAC">
            <w:r>
              <w:rPr>
                <w:color w:val="000000"/>
                <w:sz w:val="20"/>
                <w:szCs w:val="20"/>
              </w:rPr>
              <w:t>202322646 &amp; 202321274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In Progress</w:t>
            </w:r>
          </w:p>
        </w:tc>
      </w:tr>
      <w:tr w:rsidR="00AA049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Update all project documents to reflect TypeScript stack</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202322596</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A0496" w:rsidRDefault="0062728A">
            <w:r>
              <w:rPr>
                <w:color w:val="000000"/>
                <w:sz w:val="20"/>
                <w:szCs w:val="20"/>
              </w:rPr>
              <w:t>Complete</w:t>
            </w:r>
          </w:p>
        </w:tc>
      </w:tr>
      <w:tr w:rsidR="00AA049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Validate full system integration (frontend + backend + database)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All Members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0496" w:rsidRDefault="0062728A">
            <w:r>
              <w:rPr>
                <w:color w:val="000000"/>
                <w:sz w:val="20"/>
                <w:szCs w:val="20"/>
              </w:rPr>
              <w:t>In Progress</w:t>
            </w:r>
          </w:p>
        </w:tc>
      </w:tr>
    </w:tbl>
    <w:p w:rsidR="00AA0496" w:rsidRDefault="00AA0496">
      <w:pPr>
        <w:spacing w:after="200"/>
      </w:pPr>
    </w:p>
    <w:p w:rsidR="00AA0496" w:rsidRDefault="0062728A">
      <w:pPr>
        <w:pStyle w:val="Heading1"/>
        <w:pBdr>
          <w:bottom w:val="single" w:sz="6" w:space="1" w:color="2E75B6"/>
        </w:pBdr>
        <w:spacing w:before="320" w:after="160"/>
      </w:pPr>
      <w:r>
        <w:rPr>
          <w:b/>
          <w:bCs/>
          <w:color w:val="1F3864"/>
          <w:sz w:val="28"/>
          <w:szCs w:val="28"/>
        </w:rPr>
        <w:t>5.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860"/>
      </w:tblGrid>
      <w:tr w:rsidR="00AA04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Role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Name / Student No.</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0496" w:rsidRDefault="0062728A">
            <w:r>
              <w:rPr>
                <w:b/>
                <w:bCs/>
                <w:color w:val="FFFFFF"/>
                <w:sz w:val="20"/>
                <w:szCs w:val="20"/>
              </w:rPr>
              <w:t>Signature &amp; Date</w:t>
            </w:r>
          </w:p>
        </w:tc>
      </w:tr>
      <w:tr w:rsidR="00AA04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AA0496" w:rsidRDefault="0062728A">
            <w:r>
              <w:rPr>
                <w:sz w:val="20"/>
                <w:szCs w:val="20"/>
              </w:rPr>
              <w:t>Change Initiator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AA0496" w:rsidRDefault="0062728A">
            <w:r>
              <w:rPr>
                <w:sz w:val="20"/>
                <w:szCs w:val="20"/>
              </w:rPr>
              <w:t>Manyeli, H.M. — 202002241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AA0496" w:rsidRDefault="0062728A">
            <w:r>
              <w:rPr>
                <w:sz w:val="20"/>
                <w:szCs w:val="20"/>
              </w:rPr>
              <w:t>16 March 2026</w:t>
            </w:r>
          </w:p>
        </w:tc>
      </w:tr>
      <w:tr w:rsidR="00AA04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AA0496" w:rsidRDefault="0062728A">
            <w:r>
              <w:rPr>
                <w:sz w:val="20"/>
                <w:szCs w:val="20"/>
              </w:rPr>
              <w:t>Project Reviewer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AA0496" w:rsidRDefault="0062728A">
            <w:r>
              <w:rPr>
                <w:sz w:val="20"/>
                <w:szCs w:val="20"/>
              </w:rPr>
              <w:t>Makhang, L.M. — 202322596</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AA0496" w:rsidRDefault="0062728A">
            <w:r>
              <w:rPr>
                <w:sz w:val="20"/>
                <w:szCs w:val="20"/>
              </w:rPr>
              <w:t>17 March 2026</w:t>
            </w:r>
          </w:p>
        </w:tc>
      </w:tr>
      <w:tr w:rsidR="00AA04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AA0496" w:rsidRDefault="0062728A">
            <w:r>
              <w:rPr>
                <w:sz w:val="20"/>
                <w:szCs w:val="20"/>
              </w:rPr>
              <w:t>Team Consensus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AA0496" w:rsidRDefault="0062728A">
            <w:r>
              <w:rPr>
                <w:sz w:val="20"/>
                <w:szCs w:val="20"/>
              </w:rPr>
              <w:t>All Members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AA0496" w:rsidRDefault="0062728A">
            <w:r>
              <w:rPr>
                <w:sz w:val="20"/>
                <w:szCs w:val="20"/>
              </w:rPr>
              <w:t>17 March 2026</w:t>
            </w:r>
          </w:p>
        </w:tc>
      </w:tr>
    </w:tbl>
    <w:p w:rsidR="00AA0496" w:rsidRDefault="00AA0496">
      <w:pPr>
        <w:spacing w:after="200"/>
      </w:pPr>
    </w:p>
    <w:p w:rsidR="00AA0496" w:rsidRDefault="00AA0496">
      <w:pPr>
        <w:spacing w:before="400" w:after="0"/>
      </w:pPr>
    </w:p>
    <w:p w:rsidR="00AA0496" w:rsidRDefault="00AA0496">
      <w:pPr>
        <w:pBdr>
          <w:bottom w:val="single" w:sz="10" w:space="4" w:color="2E75B6"/>
        </w:pBdr>
        <w:spacing w:before="0" w:after="60"/>
        <w:jc w:val="center"/>
      </w:pPr>
      <w:r>
        <w:rPr>
          <w:b/>
          <w:color w:val="1F3864"/>
          <w:sz w:val="40"/>
          <w:szCs w:val="40"/>
        </w:rPr>
        <w:t>Change Request CR-002</w:t>
      </w:r>
    </w:p>
    <w:p w:rsidR="00AA0496" w:rsidRDefault="00AA0496">
      <w:pPr>
        <w:jc w:val="center"/>
        <w:spacing w:before="160" w:after="400"/>
      </w:pPr>
      <w:r>
        <w:rPr>
          <w:i/>
          <w:iCs/>
          <w:color w:val="555555"/>
          <w:sz w:val="24"/>
          <w:szCs w:val="24"/>
        </w:rPr>
        <w:t>CR-002: Feature Scope Additions — Attendance Code System, Theming, Reporting &amp; Structural Enhancements</w:t>
      </w:r>
    </w:p>
    <w:p w:rsidR="00AA0496" w:rsidRDefault="00AA0496">
      <w:pPr>
        <w:pBdr>
          <w:bottom w:val="single" w:sz="6" w:space="1" w:color="2E75B6"/>
        </w:pBdr>
        <w:spacing w:before="320" w:after="160"/>
      </w:pPr>
      <w:r>
        <w:rPr>
          <w:b/>
          <w:bCs/>
          <w:color w:val="1F3864"/>
          <w:sz w:val="28"/>
          <w:szCs w:val="28"/>
        </w:rPr>
        <w:t>Change Request Details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Pr>
      <w:tblGrid>
        <w:gridCol w:w="3000"/>
        <w:gridCol w:w="6360"/>
      </w:tblGrid>
      <w:tr>
        <w:tc>
          <w:tcPr>
            <w:tcW w:w="3000" w:type="dxa"/>
            <w:shd w:val="clear" w:fill="1F3864"/>
          </w:tcPr>
          <w:p>
            <w:r>
              <w:rPr>
                <w:b/>
                <w:color w:val="FFFFFF"/>
                <w:sz w:val="20"/>
              </w:rPr>
              <w:t>Field</w:t>
            </w:r>
          </w:p>
        </w:tc>
        <w:tc>
          <w:tcPr>
            <w:tcW w:w="6360" w:type="dxa"/>
            <w:shd w:val="clear" w:fill="1F3864"/>
          </w:tcPr>
          <w:p>
            <w:r>
              <w:rPr>
                <w:b/>
                <w:color w:val="FFFFFF"/>
                <w:sz w:val="20"/>
              </w:rPr>
              <w:t>Details</w:t>
            </w:r>
          </w:p>
        </w:tc>
      </w:tr>
      <w:tr>
        <w:tc>
          <w:tcPr>
            <w:tcW w:w="3000" w:type="dxa"/>
            <w:shd w:val="clear" w:fill="FFFFFF"/>
          </w:tcPr>
          <w:p>
            <w:r>
              <w:rPr>
                <w:sz w:val="20"/>
              </w:rPr>
              <w:t>Change Request ID</w:t>
            </w:r>
          </w:p>
        </w:tc>
        <w:tc>
          <w:tcPr>
            <w:tcW w:w="6360" w:type="dxa"/>
            <w:shd w:val="clear" w:fill="FFFFFF"/>
          </w:tcPr>
          <w:p>
            <w:r>
              <w:rPr>
                <w:sz w:val="20"/>
              </w:rPr>
              <w:t>CR-002</w:t>
            </w:r>
          </w:p>
        </w:tc>
      </w:tr>
      <w:tr>
        <w:tc>
          <w:tcPr>
            <w:tcW w:w="3000" w:type="dxa"/>
            <w:shd w:val="clear" w:fill="EBF3FB"/>
          </w:tcPr>
          <w:p>
            <w:r>
              <w:rPr>
                <w:sz w:val="20"/>
              </w:rPr>
              <w:t>Date Submitted</w:t>
            </w:r>
          </w:p>
        </w:tc>
        <w:tc>
          <w:tcPr>
            <w:tcW w:w="6360" w:type="dxa"/>
            <w:shd w:val="clear" w:fill="EBF3FB"/>
          </w:tcPr>
          <w:p>
            <w:r>
              <w:rPr>
                <w:sz w:val="20"/>
              </w:rPr>
              <w:t>1 April 2026</w:t>
            </w:r>
          </w:p>
        </w:tc>
      </w:tr>
      <w:tr>
        <w:tc>
          <w:tcPr>
            <w:tcW w:w="3000" w:type="dxa"/>
            <w:shd w:val="clear" w:fill="FFFFFF"/>
          </w:tcPr>
          <w:p>
            <w:r>
              <w:rPr>
                <w:sz w:val="20"/>
              </w:rPr>
              <w:t>Submitted By</w:t>
            </w:r>
          </w:p>
        </w:tc>
        <w:tc>
          <w:tcPr>
            <w:tcW w:w="6360" w:type="dxa"/>
            <w:shd w:val="clear" w:fill="FFFFFF"/>
          </w:tcPr>
          <w:p>
            <w:r>
              <w:rPr>
                <w:sz w:val="20"/>
              </w:rPr>
              <w:t>Rakoloi, B.R. (202321274) — Implementation and Execution</w:t>
            </w:r>
          </w:p>
        </w:tc>
      </w:tr>
      <w:tr>
        <w:tc>
          <w:tcPr>
            <w:tcW w:w="3000" w:type="dxa"/>
            <w:shd w:val="clear" w:fill="EBF3FB"/>
          </w:tcPr>
          <w:p>
            <w:r>
              <w:rPr>
                <w:sz w:val="20"/>
              </w:rPr>
              <w:t>Project</w:t>
            </w:r>
          </w:p>
        </w:tc>
        <w:tc>
          <w:tcPr>
            <w:tcW w:w="6360" w:type="dxa"/>
            <w:shd w:val="clear" w:fill="EBF3FB"/>
          </w:tcPr>
          <w:p>
            <w:r>
              <w:rPr>
                <w:sz w:val="20"/>
              </w:rPr>
              <w:t>NUL Attendance Management System</w:t>
            </w:r>
          </w:p>
        </w:tc>
      </w:tr>
      <w:tr>
        <w:tc>
          <w:tcPr>
            <w:tcW w:w="3000" w:type="dxa"/>
            <w:shd w:val="clear" w:fill="FFFFFF"/>
          </w:tcPr>
          <w:p>
            <w:r>
              <w:rPr>
                <w:sz w:val="20"/>
              </w:rPr>
              <w:t>Phase at Time of Change</w:t>
            </w:r>
          </w:p>
        </w:tc>
        <w:tc>
          <w:tcPr>
            <w:tcW w:w="6360" w:type="dxa"/>
            <w:shd w:val="clear" w:fill="FFFFFF"/>
          </w:tcPr>
          <w:p>
            <w:r>
              <w:rPr>
                <w:sz w:val="20"/>
              </w:rPr>
              <w:t>Execution — Implementation (Weeks 6-8)</w:t>
            </w:r>
          </w:p>
        </w:tc>
      </w:tr>
      <w:tr>
        <w:tc>
          <w:tcPr>
            <w:tcW w:w="3000" w:type="dxa"/>
            <w:shd w:val="clear" w:fill="EBF3FB"/>
          </w:tcPr>
          <w:p>
            <w:r>
              <w:rPr>
                <w:sz w:val="20"/>
              </w:rPr>
              <w:t>Revised Deadline</w:t>
            </w:r>
          </w:p>
        </w:tc>
        <w:tc>
          <w:tcPr>
            <w:tcW w:w="6360" w:type="dxa"/>
            <w:shd w:val="clear" w:fill="EBF3FB"/>
          </w:tcPr>
          <w:p>
            <w:r>
              <w:rPr>
                <w:sz w:val="20"/>
              </w:rPr>
              <w:t>10 April 2026 (extended from original 3 April 2026 implementation close)</w:t>
            </w:r>
          </w:p>
        </w:tc>
      </w:tr>
      <w:tr>
        <w:tc>
          <w:tcPr>
            <w:tcW w:w="3000" w:type="dxa"/>
            <w:shd w:val="clear" w:fill="FFFFFF"/>
          </w:tcPr>
          <w:p>
            <w:r>
              <w:rPr>
                <w:sz w:val="20"/>
              </w:rPr>
              <w:t>Priority</w:t>
            </w:r>
          </w:p>
        </w:tc>
        <w:tc>
          <w:tcPr>
            <w:tcW w:w="6360" w:type="dxa"/>
            <w:shd w:val="clear" w:fill="FFFFFF"/>
          </w:tcPr>
          <w:p>
            <w:r>
              <w:rPr>
                <w:sz w:val="20"/>
              </w:rPr>
              <w:t>High</w:t>
            </w:r>
          </w:p>
        </w:tc>
      </w:tr>
      <w:tr>
        <w:tc>
          <w:tcPr>
            <w:tcW w:w="3000" w:type="dxa"/>
            <w:shd w:val="clear" w:fill="EBF3FB"/>
          </w:tcPr>
          <w:p>
            <w:r>
              <w:rPr>
                <w:sz w:val="20"/>
              </w:rPr>
              <w:t>Status</w:t>
            </w:r>
          </w:p>
        </w:tc>
        <w:tc>
          <w:tcPr>
            <w:tcW w:w="6360" w:type="dxa"/>
            <w:shd w:val="clear" w:fill="EBF3FB"/>
          </w:tcPr>
          <w:p>
            <w:r>
              <w:rPr>
                <w:sz w:val="20"/>
              </w:rPr>
              <w:t>Approved and Implemented</w:t>
            </w:r>
          </w:p>
        </w:tc>
      </w:tr>
    </w:tbl>
    <w:p w:rsidR="00AA0496" w:rsidRDefault="00AA0496">
      <w:pPr>
        <w:spacing w:before="0" w:after="200"/>
      </w:pPr>
    </w:p>
    <w:p w:rsidR="00AA0496" w:rsidRDefault="00AA0496">
      <w:pPr>
        <w:pBdr>
          <w:bottom w:val="single" w:sz="6" w:space="1" w:color="2E75B6"/>
        </w:pBdr>
        <w:spacing w:before="320" w:after="160"/>
      </w:pPr>
      <w:r>
        <w:rPr>
          <w:b/>
          <w:bCs/>
          <w:color w:val="1F3864"/>
          <w:sz w:val="28"/>
          <w:szCs w:val="28"/>
        </w:rPr>
        <w:t>1. Description of Change</w:t>
      </w:r>
    </w:p>
    <w:p w:rsidR="00AA0496" w:rsidRDefault="00AA0496">
      <w:pPr>
        <w:spacing w:before="80" w:after="80"/>
        <w:jc w:val="both"/>
      </w:pPr>
      <w:r>
        <w:rPr>
          <w:sz w:val="22"/>
          <w:szCs w:val="22"/>
        </w:rPr>
        <w:t>This change request formally documents a set of feature additions and structural enhancements identified during active development in the Execution Phase. These additions emerged from testing, stakeholder feedback, and developer review of the running system. They expand on the original functional scope without altering the core project objectives, and they necessitate a revised implementation deadline of 10 April 2026.</w:t>
      </w:r>
    </w:p>
    <w:p w:rsidR="00AA0496" w:rsidRDefault="00AA0496">
      <w:pPr>
        <w:spacing w:before="0" w:after="16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Pr>
      <w:tblGrid>
        <w:gridCol w:w="480"/>
        <w:gridCol w:w="2400"/>
        <w:gridCol w:w="4080"/>
        <w:gridCol w:w="2400"/>
      </w:tblGrid>
      <w:tr>
        <w:tc>
          <w:tcPr>
            <w:tcW w:w="480" w:type="dxa"/>
            <w:shd w:val="clear" w:fill="1F3864"/>
          </w:tcPr>
          <w:p>
            <w:r>
              <w:rPr>
                <w:b/>
                <w:color w:val="FFFFFF"/>
                <w:sz w:val="20"/>
              </w:rPr>
              <w:t>#</w:t>
            </w:r>
          </w:p>
        </w:tc>
        <w:tc>
          <w:tcPr>
            <w:tcW w:w="2400" w:type="dxa"/>
            <w:shd w:val="clear" w:fill="1F3864"/>
          </w:tcPr>
          <w:p>
            <w:r>
              <w:rPr>
                <w:b/>
                <w:color w:val="FFFFFF"/>
                <w:sz w:val="20"/>
              </w:rPr>
              <w:t>Feature Area</w:t>
            </w:r>
          </w:p>
        </w:tc>
        <w:tc>
          <w:tcPr>
            <w:tcW w:w="4080" w:type="dxa"/>
            <w:shd w:val="clear" w:fill="1F3864"/>
          </w:tcPr>
          <w:p>
            <w:r>
              <w:rPr>
                <w:b/>
                <w:color w:val="FFFFFF"/>
                <w:sz w:val="20"/>
              </w:rPr>
              <w:t>Change Description</w:t>
            </w:r>
          </w:p>
        </w:tc>
        <w:tc>
          <w:tcPr>
            <w:tcW w:w="2400" w:type="dxa"/>
            <w:shd w:val="clear" w:fill="1F3864"/>
          </w:tcPr>
          <w:p>
            <w:r>
              <w:rPr>
                <w:b/>
                <w:color w:val="FFFFFF"/>
                <w:sz w:val="20"/>
              </w:rPr>
              <w:t>Status</w:t>
            </w:r>
          </w:p>
        </w:tc>
      </w:tr>
      <w:tr>
        <w:tc>
          <w:tcPr>
            <w:tcW w:w="480" w:type="dxa"/>
            <w:shd w:val="clear" w:fill="FFFFFF"/>
          </w:tcPr>
          <w:p>
            <w:r>
              <w:rPr>
                <w:sz w:val="20"/>
              </w:rPr>
              <w:t>1</w:t>
            </w:r>
          </w:p>
        </w:tc>
        <w:tc>
          <w:tcPr>
            <w:tcW w:w="2400" w:type="dxa"/>
            <w:shd w:val="clear" w:fill="FFFFFF"/>
          </w:tcPr>
          <w:p>
            <w:r>
              <w:rPr>
                <w:sz w:val="20"/>
              </w:rPr>
              <w:t>Attendance Code System</w:t>
            </w:r>
          </w:p>
        </w:tc>
        <w:tc>
          <w:tcPr>
            <w:tcW w:w="4080" w:type="dxa"/>
            <w:shd w:val="clear" w:fill="FFFFFF"/>
          </w:tcPr>
          <w:p>
            <w:r>
              <w:rPr>
                <w:sz w:val="20"/>
              </w:rPr>
              <w:t>Lecturer begins a class generating a random code for all enrolled students. A 15-minute timer governs the validity window; students entering the code are marked present, post-timer entries are late.</w:t>
            </w:r>
          </w:p>
        </w:tc>
        <w:tc>
          <w:tcPr>
            <w:tcW w:w="2400" w:type="dxa"/>
            <w:shd w:val="clear" w:fill="FFFFFF"/>
          </w:tcPr>
          <w:p>
            <w:r>
              <w:rPr>
                <w:sz w:val="20"/>
              </w:rPr>
              <w:t>Implemented</w:t>
            </w:r>
          </w:p>
        </w:tc>
      </w:tr>
      <w:tr>
        <w:tc>
          <w:tcPr>
            <w:tcW w:w="480" w:type="dxa"/>
            <w:shd w:val="clear" w:fill="EBF3FB"/>
          </w:tcPr>
          <w:p>
            <w:r>
              <w:rPr>
                <w:sz w:val="20"/>
              </w:rPr>
              <w:t>2</w:t>
            </w:r>
          </w:p>
        </w:tc>
        <w:tc>
          <w:tcPr>
            <w:tcW w:w="2400" w:type="dxa"/>
            <w:shd w:val="clear" w:fill="EBF3FB"/>
          </w:tcPr>
          <w:p>
            <w:r>
              <w:rPr>
                <w:sz w:val="20"/>
              </w:rPr>
              <w:t>Session Duration Choice</w:t>
            </w:r>
          </w:p>
        </w:tc>
        <w:tc>
          <w:tcPr>
            <w:tcW w:w="4080" w:type="dxa"/>
            <w:shd w:val="clear" w:fill="EBF3FB"/>
          </w:tcPr>
          <w:p>
            <w:r>
              <w:rPr>
                <w:sz w:val="20"/>
              </w:rPr>
              <w:t>Lecturer selects a 50-minute or 1 hour 50-minute session duration when beginning a class.</w:t>
            </w:r>
          </w:p>
        </w:tc>
        <w:tc>
          <w:tcPr>
            <w:tcW w:w="2400" w:type="dxa"/>
            <w:shd w:val="clear" w:fill="EBF3FB"/>
          </w:tcPr>
          <w:p>
            <w:r>
              <w:rPr>
                <w:sz w:val="20"/>
              </w:rPr>
              <w:t>Implemented</w:t>
            </w:r>
          </w:p>
        </w:tc>
      </w:tr>
      <w:tr>
        <w:tc>
          <w:tcPr>
            <w:tcW w:w="480" w:type="dxa"/>
            <w:shd w:val="clear" w:fill="FFFFFF"/>
          </w:tcPr>
          <w:p>
            <w:r>
              <w:rPr>
                <w:sz w:val="20"/>
              </w:rPr>
              <w:t>3</w:t>
            </w:r>
          </w:p>
        </w:tc>
        <w:tc>
          <w:tcPr>
            <w:tcW w:w="2400" w:type="dxa"/>
            <w:shd w:val="clear" w:fill="FFFFFF"/>
          </w:tcPr>
          <w:p>
            <w:r>
              <w:rPr>
                <w:sz w:val="20"/>
              </w:rPr>
              <w:t>Session Persistence</w:t>
            </w:r>
          </w:p>
        </w:tc>
        <w:tc>
          <w:tcPr>
            <w:tcW w:w="4080" w:type="dxa"/>
            <w:shd w:val="clear" w:fill="FFFFFF"/>
          </w:tcPr>
          <w:p>
            <w:r>
              <w:rPr>
                <w:sz w:val="20"/>
              </w:rPr>
              <w:t>Class session does not terminate when lecturer navigates away. Session remains active until explicitly ended.</w:t>
            </w:r>
          </w:p>
        </w:tc>
        <w:tc>
          <w:tcPr>
            <w:tcW w:w="2400" w:type="dxa"/>
            <w:shd w:val="clear" w:fill="FFFFFF"/>
          </w:tcPr>
          <w:p>
            <w:r>
              <w:rPr>
                <w:sz w:val="20"/>
              </w:rPr>
              <w:t>Implemented</w:t>
            </w:r>
          </w:p>
        </w:tc>
      </w:tr>
      <w:tr>
        <w:tc>
          <w:tcPr>
            <w:tcW w:w="480" w:type="dxa"/>
            <w:shd w:val="clear" w:fill="EBF3FB"/>
          </w:tcPr>
          <w:p>
            <w:r>
              <w:rPr>
                <w:sz w:val="20"/>
              </w:rPr>
              <w:t>4</w:t>
            </w:r>
          </w:p>
        </w:tc>
        <w:tc>
          <w:tcPr>
            <w:tcW w:w="2400" w:type="dxa"/>
            <w:shd w:val="clear" w:fill="EBF3FB"/>
          </w:tcPr>
          <w:p>
            <w:r>
              <w:rPr>
                <w:sz w:val="20"/>
              </w:rPr>
              <w:t>Class Initiation Restriction</w:t>
            </w:r>
          </w:p>
        </w:tc>
        <w:tc>
          <w:tcPr>
            <w:tcW w:w="4080" w:type="dxa"/>
            <w:shd w:val="clear" w:fill="EBF3FB"/>
          </w:tcPr>
          <w:p>
            <w:r>
              <w:rPr>
                <w:sz w:val="20"/>
              </w:rPr>
              <w:t>Class can only be begun from the My Classes page. Dashboard shows active session status only with no navigation to take-attendance page.</w:t>
            </w:r>
          </w:p>
        </w:tc>
        <w:tc>
          <w:tcPr>
            <w:tcW w:w="2400" w:type="dxa"/>
            <w:shd w:val="clear" w:fill="EBF3FB"/>
          </w:tcPr>
          <w:p>
            <w:r>
              <w:rPr>
                <w:sz w:val="20"/>
              </w:rPr>
              <w:t>Implemented</w:t>
            </w:r>
          </w:p>
        </w:tc>
      </w:tr>
      <w:tr>
        <w:tc>
          <w:tcPr>
            <w:tcW w:w="480" w:type="dxa"/>
            <w:shd w:val="clear" w:fill="FFFFFF"/>
          </w:tcPr>
          <w:p>
            <w:r>
              <w:rPr>
                <w:sz w:val="20"/>
              </w:rPr>
              <w:t>5</w:t>
            </w:r>
          </w:p>
        </w:tc>
        <w:tc>
          <w:tcPr>
            <w:tcW w:w="2400" w:type="dxa"/>
            <w:shd w:val="clear" w:fill="FFFFFF"/>
          </w:tcPr>
          <w:p>
            <w:r>
              <w:rPr>
                <w:sz w:val="20"/>
              </w:rPr>
              <w:t>Manual Attendance Marking</w:t>
            </w:r>
          </w:p>
        </w:tc>
        <w:tc>
          <w:tcPr>
            <w:tcW w:w="4080" w:type="dxa"/>
            <w:shd w:val="clear" w:fill="FFFFFF"/>
          </w:tcPr>
          <w:p>
            <w:r>
              <w:rPr>
                <w:sz w:val="20"/>
              </w:rPr>
              <w:t>Lecturer can manually mark a student present when the student cannot submit the attendance code.</w:t>
            </w:r>
          </w:p>
        </w:tc>
        <w:tc>
          <w:tcPr>
            <w:tcW w:w="2400" w:type="dxa"/>
            <w:shd w:val="clear" w:fill="FFFFFF"/>
          </w:tcPr>
          <w:p>
            <w:r>
              <w:rPr>
                <w:sz w:val="20"/>
              </w:rPr>
              <w:t>Implemented</w:t>
            </w:r>
          </w:p>
        </w:tc>
      </w:tr>
      <w:tr>
        <w:tc>
          <w:tcPr>
            <w:tcW w:w="480" w:type="dxa"/>
            <w:shd w:val="clear" w:fill="EBF3FB"/>
          </w:tcPr>
          <w:p>
            <w:r>
              <w:rPr>
                <w:sz w:val="20"/>
              </w:rPr>
              <w:t>6</w:t>
            </w:r>
          </w:p>
        </w:tc>
        <w:tc>
          <w:tcPr>
            <w:tcW w:w="2400" w:type="dxa"/>
            <w:shd w:val="clear" w:fill="EBF3FB"/>
          </w:tcPr>
          <w:p>
            <w:r>
              <w:rPr>
                <w:sz w:val="20"/>
              </w:rPr>
              <w:t>Role-Specific Colour Themes</w:t>
            </w:r>
          </w:p>
        </w:tc>
        <w:tc>
          <w:tcPr>
            <w:tcW w:w="4080" w:type="dxa"/>
            <w:shd w:val="clear" w:fill="EBF3FB"/>
          </w:tcPr>
          <w:p>
            <w:r>
              <w:rPr>
                <w:sz w:val="20"/>
              </w:rPr>
              <w:t>Admin portal: red/orange theme. Lecturer portal: forest/ocean theme. Student portal: default/royal theme. Nav items and buttons inherit the active role theme.</w:t>
            </w:r>
          </w:p>
        </w:tc>
        <w:tc>
          <w:tcPr>
            <w:tcW w:w="2400" w:type="dxa"/>
            <w:shd w:val="clear" w:fill="EBF3FB"/>
          </w:tcPr>
          <w:p>
            <w:r>
              <w:rPr>
                <w:sz w:val="20"/>
              </w:rPr>
              <w:t>Implemented</w:t>
            </w:r>
          </w:p>
        </w:tc>
      </w:tr>
      <w:tr>
        <w:tc>
          <w:tcPr>
            <w:tcW w:w="480" w:type="dxa"/>
            <w:shd w:val="clear" w:fill="FFFFFF"/>
          </w:tcPr>
          <w:p>
            <w:r>
              <w:rPr>
                <w:sz w:val="20"/>
              </w:rPr>
              <w:t>7</w:t>
            </w:r>
          </w:p>
        </w:tc>
        <w:tc>
          <w:tcPr>
            <w:tcW w:w="2400" w:type="dxa"/>
            <w:shd w:val="clear" w:fill="FFFFFF"/>
          </w:tcPr>
          <w:p>
            <w:r>
              <w:rPr>
                <w:sz w:val="20"/>
              </w:rPr>
              <w:t>Dark Mode and System Theme</w:t>
            </w:r>
          </w:p>
        </w:tc>
        <w:tc>
          <w:tcPr>
            <w:tcW w:w="4080" w:type="dxa"/>
            <w:shd w:val="clear" w:fill="FFFFFF"/>
          </w:tcPr>
          <w:p>
            <w:r>
              <w:rPr>
                <w:sz w:val="20"/>
              </w:rPr>
              <w:t>Full system dark/light mode via CSS prefers-color-scheme. Login and loading pages default to system colour theme. White patches in dark mode eliminated.</w:t>
            </w:r>
          </w:p>
        </w:tc>
        <w:tc>
          <w:tcPr>
            <w:tcW w:w="2400" w:type="dxa"/>
            <w:shd w:val="clear" w:fill="FFFFFF"/>
          </w:tcPr>
          <w:p>
            <w:r>
              <w:rPr>
                <w:sz w:val="20"/>
              </w:rPr>
              <w:t>Substantially complete</w:t>
            </w:r>
          </w:p>
        </w:tc>
      </w:tr>
      <w:tr>
        <w:tc>
          <w:tcPr>
            <w:tcW w:w="480" w:type="dxa"/>
            <w:shd w:val="clear" w:fill="EBF3FB"/>
          </w:tcPr>
          <w:p>
            <w:r>
              <w:rPr>
                <w:sz w:val="20"/>
              </w:rPr>
              <w:t>8</w:t>
            </w:r>
          </w:p>
        </w:tc>
        <w:tc>
          <w:tcPr>
            <w:tcW w:w="2400" w:type="dxa"/>
            <w:shd w:val="clear" w:fill="EBF3FB"/>
          </w:tcPr>
          <w:p>
            <w:r>
              <w:rPr>
                <w:sz w:val="20"/>
              </w:rPr>
              <w:t>Report Preview and Download</w:t>
            </w:r>
          </w:p>
        </w:tc>
        <w:tc>
          <w:tcPr>
            <w:tcW w:w="4080" w:type="dxa"/>
            <w:shd w:val="clear" w:fill="EBF3FB"/>
          </w:tcPr>
          <w:p>
            <w:r>
              <w:rPr>
                <w:sz w:val="20"/>
              </w:rPr>
              <w:t>Reports are previewable in the React UI and downloadable as formatted PDFs with per-student breakdown, course details, semester and date range.</w:t>
            </w:r>
          </w:p>
        </w:tc>
        <w:tc>
          <w:tcPr>
            <w:tcW w:w="2400" w:type="dxa"/>
            <w:shd w:val="clear" w:fill="EBF3FB"/>
          </w:tcPr>
          <w:p>
            <w:r>
              <w:rPr>
                <w:sz w:val="20"/>
              </w:rPr>
              <w:t>Implemented</w:t>
            </w:r>
          </w:p>
        </w:tc>
      </w:tr>
      <w:tr>
        <w:tc>
          <w:tcPr>
            <w:tcW w:w="480" w:type="dxa"/>
            <w:shd w:val="clear" w:fill="FFFFFF"/>
          </w:tcPr>
          <w:p>
            <w:r>
              <w:rPr>
                <w:sz w:val="20"/>
              </w:rPr>
              <w:t>9</w:t>
            </w:r>
          </w:p>
        </w:tc>
        <w:tc>
          <w:tcPr>
            <w:tcW w:w="2400" w:type="dxa"/>
            <w:shd w:val="clear" w:fill="FFFFFF"/>
          </w:tcPr>
          <w:p>
            <w:r>
              <w:rPr>
                <w:sz w:val="20"/>
              </w:rPr>
              <w:t>Semester and Yearly Reports</w:t>
            </w:r>
          </w:p>
        </w:tc>
        <w:tc>
          <w:tcPr>
            <w:tcW w:w="4080" w:type="dxa"/>
            <w:shd w:val="clear" w:fill="FFFFFF"/>
          </w:tcPr>
          <w:p>
            <w:r>
              <w:rPr>
                <w:sz w:val="20"/>
              </w:rPr>
              <w:t>System supports semester-level (2 per year) and yearly reports spanning 4-5 years of study, selectable per student or course cohort.</w:t>
            </w:r>
          </w:p>
        </w:tc>
        <w:tc>
          <w:tcPr>
            <w:tcW w:w="2400" w:type="dxa"/>
            <w:shd w:val="clear" w:fill="FFFFFF"/>
          </w:tcPr>
          <w:p>
            <w:r>
              <w:rPr>
                <w:sz w:val="20"/>
              </w:rPr>
              <w:t>Implemented</w:t>
            </w:r>
          </w:p>
        </w:tc>
      </w:tr>
      <w:tr>
        <w:tc>
          <w:tcPr>
            <w:tcW w:w="480" w:type="dxa"/>
            <w:shd w:val="clear" w:fill="EBF3FB"/>
          </w:tcPr>
          <w:p>
            <w:r>
              <w:rPr>
                <w:sz w:val="20"/>
              </w:rPr>
              <w:t>10</w:t>
            </w:r>
          </w:p>
        </w:tc>
        <w:tc>
          <w:tcPr>
            <w:tcW w:w="2400" w:type="dxa"/>
            <w:shd w:val="clear" w:fill="EBF3FB"/>
          </w:tcPr>
          <w:p>
            <w:r>
              <w:rPr>
                <w:sz w:val="20"/>
              </w:rPr>
              <w:t>Multi-Dept Courses and Programmes</w:t>
            </w:r>
          </w:p>
        </w:tc>
        <w:tc>
          <w:tcPr>
            <w:tcW w:w="4080" w:type="dxa"/>
            <w:shd w:val="clear" w:fill="EBF3FB"/>
          </w:tcPr>
          <w:p>
            <w:r>
              <w:rPr>
                <w:sz w:val="20"/>
              </w:rPr>
              <w:t>Courses can belong to multiple departments. Student programmes correctly link to all associated departments when created by admin.</w:t>
            </w:r>
          </w:p>
        </w:tc>
        <w:tc>
          <w:tcPr>
            <w:tcW w:w="2400" w:type="dxa"/>
            <w:shd w:val="clear" w:fill="EBF3FB"/>
          </w:tcPr>
          <w:p>
            <w:r>
              <w:rPr>
                <w:sz w:val="20"/>
              </w:rPr>
              <w:t>Implemented</w:t>
            </w:r>
          </w:p>
        </w:tc>
      </w:tr>
      <w:tr>
        <w:tc>
          <w:tcPr>
            <w:tcW w:w="480" w:type="dxa"/>
            <w:shd w:val="clear" w:fill="FFFFFF"/>
          </w:tcPr>
          <w:p>
            <w:r>
              <w:rPr>
                <w:sz w:val="20"/>
              </w:rPr>
              <w:t>11</w:t>
            </w:r>
          </w:p>
        </w:tc>
        <w:tc>
          <w:tcPr>
            <w:tcW w:w="2400" w:type="dxa"/>
            <w:shd w:val="clear" w:fill="FFFFFF"/>
          </w:tcPr>
          <w:p>
            <w:r>
              <w:rPr>
                <w:sz w:val="20"/>
              </w:rPr>
              <w:t>Lecturer Course Scope</w:t>
            </w:r>
          </w:p>
        </w:tc>
        <w:tc>
          <w:tcPr>
            <w:tcW w:w="4080" w:type="dxa"/>
            <w:shd w:val="clear" w:fill="FFFFFF"/>
          </w:tcPr>
          <w:p>
            <w:r>
              <w:rPr>
                <w:sz w:val="20"/>
              </w:rPr>
              <w:t>Lecturers only see attendance reports and records for courses they are assigned to teach.</w:t>
            </w:r>
          </w:p>
        </w:tc>
        <w:tc>
          <w:tcPr>
            <w:tcW w:w="2400" w:type="dxa"/>
            <w:shd w:val="clear" w:fill="FFFFFF"/>
          </w:tcPr>
          <w:p>
            <w:r>
              <w:rPr>
                <w:sz w:val="20"/>
              </w:rPr>
              <w:t>Implemented</w:t>
            </w:r>
          </w:p>
        </w:tc>
      </w:tr>
      <w:tr>
        <w:tc>
          <w:tcPr>
            <w:tcW w:w="480" w:type="dxa"/>
            <w:shd w:val="clear" w:fill="EBF3FB"/>
          </w:tcPr>
          <w:p>
            <w:r>
              <w:rPr>
                <w:sz w:val="20"/>
              </w:rPr>
              <w:t>12</w:t>
            </w:r>
          </w:p>
        </w:tc>
        <w:tc>
          <w:tcPr>
            <w:tcW w:w="2400" w:type="dxa"/>
            <w:shd w:val="clear" w:fill="EBF3FB"/>
          </w:tcPr>
          <w:p>
            <w:r>
              <w:rPr>
                <w:sz w:val="20"/>
              </w:rPr>
              <w:t>Lecturer Directory and Assignment</w:t>
            </w:r>
          </w:p>
        </w:tc>
        <w:tc>
          <w:tcPr>
            <w:tcW w:w="4080" w:type="dxa"/>
            <w:shd w:val="clear" w:fill="EBF3FB"/>
          </w:tcPr>
          <w:p>
            <w:r>
              <w:rPr>
                <w:sz w:val="20"/>
              </w:rPr>
              <w:t>Admin can view all lecturers per department and assign them to courses. Assignments reflect immediately in lecturer My Classes view.</w:t>
            </w:r>
          </w:p>
        </w:tc>
        <w:tc>
          <w:tcPr>
            <w:tcW w:w="2400" w:type="dxa"/>
            <w:shd w:val="clear" w:fill="EBF3FB"/>
          </w:tcPr>
          <w:p>
            <w:r>
              <w:rPr>
                <w:sz w:val="20"/>
              </w:rPr>
              <w:t>Implemented</w:t>
            </w:r>
          </w:p>
        </w:tc>
      </w:tr>
      <w:tr>
        <w:tc>
          <w:tcPr>
            <w:tcW w:w="480" w:type="dxa"/>
            <w:shd w:val="clear" w:fill="FFFFFF"/>
          </w:tcPr>
          <w:p>
            <w:r>
              <w:rPr>
                <w:sz w:val="20"/>
              </w:rPr>
              <w:t>13</w:t>
            </w:r>
          </w:p>
        </w:tc>
        <w:tc>
          <w:tcPr>
            <w:tcW w:w="2400" w:type="dxa"/>
            <w:shd w:val="clear" w:fill="FFFFFF"/>
          </w:tcPr>
          <w:p>
            <w:r>
              <w:rPr>
                <w:sz w:val="20"/>
              </w:rPr>
              <w:t>Forgot Password Fix</w:t>
            </w:r>
          </w:p>
        </w:tc>
        <w:tc>
          <w:tcPr>
            <w:tcW w:w="4080" w:type="dxa"/>
            <w:shd w:val="clear" w:fill="FFFFFF"/>
          </w:tcPr>
          <w:p>
            <w:r>
              <w:rPr>
                <w:sz w:val="20"/>
              </w:rPr>
              <w:t>Forgot password flow now correctly updates the password in the database.</w:t>
            </w:r>
          </w:p>
        </w:tc>
        <w:tc>
          <w:tcPr>
            <w:tcW w:w="2400" w:type="dxa"/>
            <w:shd w:val="clear" w:fill="FFFFFF"/>
          </w:tcPr>
          <w:p>
            <w:r>
              <w:rPr>
                <w:sz w:val="20"/>
              </w:rPr>
              <w:t>Implemented</w:t>
            </w:r>
          </w:p>
        </w:tc>
      </w:tr>
      <w:tr>
        <w:tc>
          <w:tcPr>
            <w:tcW w:w="480" w:type="dxa"/>
            <w:shd w:val="clear" w:fill="EBF3FB"/>
          </w:tcPr>
          <w:p>
            <w:r>
              <w:rPr>
                <w:sz w:val="20"/>
              </w:rPr>
              <w:t>14</w:t>
            </w:r>
          </w:p>
        </w:tc>
        <w:tc>
          <w:tcPr>
            <w:tcW w:w="2400" w:type="dxa"/>
            <w:shd w:val="clear" w:fill="EBF3FB"/>
          </w:tcPr>
          <w:p>
            <w:r>
              <w:rPr>
                <w:sz w:val="20"/>
              </w:rPr>
              <w:t>Admin Code Gate</w:t>
            </w:r>
          </w:p>
        </w:tc>
        <w:tc>
          <w:tcPr>
            <w:tcW w:w="4080" w:type="dxa"/>
            <w:shd w:val="clear" w:fill="EBF3FB"/>
          </w:tcPr>
          <w:p>
            <w:r>
              <w:rPr>
                <w:sz w:val="20"/>
              </w:rPr>
              <w:t>A super-secret admin code is required at login. The admin code page routing issue has been resolved.</w:t>
            </w:r>
          </w:p>
        </w:tc>
        <w:tc>
          <w:tcPr>
            <w:tcW w:w="2400" w:type="dxa"/>
            <w:shd w:val="clear" w:fill="EBF3FB"/>
          </w:tcPr>
          <w:p>
            <w:r>
              <w:rPr>
                <w:sz w:val="20"/>
              </w:rPr>
              <w:t>Implemented</w:t>
            </w:r>
          </w:p>
        </w:tc>
      </w:tr>
      <w:tr>
        <w:tc>
          <w:tcPr>
            <w:tcW w:w="480" w:type="dxa"/>
            <w:shd w:val="clear" w:fill="FFFFFF"/>
          </w:tcPr>
          <w:p>
            <w:r>
              <w:rPr>
                <w:sz w:val="20"/>
              </w:rPr>
              <w:t>15</w:t>
            </w:r>
          </w:p>
        </w:tc>
        <w:tc>
          <w:tcPr>
            <w:tcW w:w="2400" w:type="dxa"/>
            <w:shd w:val="clear" w:fill="FFFFFF"/>
          </w:tcPr>
          <w:p>
            <w:r>
              <w:rPr>
                <w:sz w:val="20"/>
              </w:rPr>
              <w:t>Deployment Railway/Vercel</w:t>
            </w:r>
          </w:p>
        </w:tc>
        <w:tc>
          <w:tcPr>
            <w:tcW w:w="4080" w:type="dxa"/>
            <w:shd w:val="clear" w:fill="FFFFFF"/>
          </w:tcPr>
          <w:p>
            <w:r>
              <w:rPr>
                <w:sz w:val="20"/>
              </w:rPr>
              <w:t>Backend deployed to Railway, frontend to Vercel. Production CORS origins and environment variables configured.</w:t>
            </w:r>
          </w:p>
        </w:tc>
        <w:tc>
          <w:tcPr>
            <w:tcW w:w="2400" w:type="dxa"/>
            <w:shd w:val="clear" w:fill="FFFFFF"/>
          </w:tcPr>
          <w:p>
            <w:r>
              <w:rPr>
                <w:sz w:val="20"/>
              </w:rPr>
              <w:t>Implemented</w:t>
            </w:r>
          </w:p>
        </w:tc>
      </w:tr>
    </w:tbl>
    <w:p w:rsidR="00AA0496" w:rsidRDefault="00AA0496">
      <w:pPr>
        <w:spacing w:before="0" w:after="200"/>
      </w:pPr>
    </w:p>
    <w:p w:rsidR="00AA0496" w:rsidRDefault="00AA0496">
      <w:pPr>
        <w:pBdr>
          <w:bottom w:val="single" w:sz="6" w:space="1" w:color="2E75B6"/>
        </w:pBdr>
        <w:spacing w:before="320" w:after="160"/>
      </w:pPr>
      <w:r>
        <w:rPr>
          <w:b/>
          <w:bCs/>
          <w:color w:val="1F3864"/>
          <w:sz w:val="28"/>
          <w:szCs w:val="28"/>
        </w:rPr>
        <w:t>2. Impact Assessment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Pr>
      <w:tblGrid>
        <w:gridCol w:w="2400"/>
        <w:gridCol w:w="4560"/>
        <w:gridCol w:w="2400"/>
      </w:tblGrid>
      <w:tr>
        <w:tc>
          <w:tcPr>
            <w:tcW w:w="2400" w:type="dxa"/>
            <w:shd w:val="clear" w:fill="1F3864"/>
          </w:tcPr>
          <w:p>
            <w:r>
              <w:rPr>
                <w:b/>
                <w:color w:val="FFFFFF"/>
                <w:sz w:val="20"/>
              </w:rPr>
              <w:t>Impact Area</w:t>
            </w:r>
          </w:p>
        </w:tc>
        <w:tc>
          <w:tcPr>
            <w:tcW w:w="4560" w:type="dxa"/>
            <w:shd w:val="clear" w:fill="1F3864"/>
          </w:tcPr>
          <w:p>
            <w:r>
              <w:rPr>
                <w:b/>
                <w:color w:val="FFFFFF"/>
                <w:sz w:val="20"/>
              </w:rPr>
              <w:t>Assessment</w:t>
            </w:r>
          </w:p>
        </w:tc>
        <w:tc>
          <w:tcPr>
            <w:tcW w:w="2400" w:type="dxa"/>
            <w:shd w:val="clear" w:fill="1F3864"/>
          </w:tcPr>
          <w:p>
            <w:r>
              <w:rPr>
                <w:b/>
                <w:color w:val="FFFFFF"/>
                <w:sz w:val="20"/>
              </w:rPr>
              <w:t>Severity</w:t>
            </w:r>
          </w:p>
        </w:tc>
      </w:tr>
      <w:tr>
        <w:tc>
          <w:tcPr>
            <w:tcW w:w="2400" w:type="dxa"/>
            <w:shd w:val="clear" w:fill="FFFFFF"/>
          </w:tcPr>
          <w:p>
            <w:r>
              <w:rPr>
                <w:sz w:val="20"/>
              </w:rPr>
              <w:t>Project Scope</w:t>
            </w:r>
          </w:p>
        </w:tc>
        <w:tc>
          <w:tcPr>
            <w:tcW w:w="4560" w:type="dxa"/>
            <w:shd w:val="clear" w:fill="FFFFFF"/>
          </w:tcPr>
          <w:p>
            <w:r>
              <w:rPr>
                <w:sz w:val="20"/>
              </w:rPr>
              <w:t>Scope expanded to include attendance code system, theming, enhanced reporting, and structural enhancements. Core objectives and out-of-scope items unchanged.</w:t>
            </w:r>
          </w:p>
        </w:tc>
        <w:tc>
          <w:tcPr>
            <w:tcW w:w="2400" w:type="dxa"/>
            <w:shd w:val="clear" w:fill="FFFFFF"/>
          </w:tcPr>
          <w:p>
            <w:r>
              <w:rPr>
                <w:sz w:val="20"/>
              </w:rPr>
              <w:t>Moderate - Controlled</w:t>
            </w:r>
          </w:p>
        </w:tc>
      </w:tr>
      <w:tr>
        <w:tc>
          <w:tcPr>
            <w:tcW w:w="2400" w:type="dxa"/>
            <w:shd w:val="clear" w:fill="EBF3FB"/>
          </w:tcPr>
          <w:p>
            <w:r>
              <w:rPr>
                <w:sz w:val="20"/>
              </w:rPr>
              <w:t>Project Schedule</w:t>
            </w:r>
          </w:p>
        </w:tc>
        <w:tc>
          <w:tcPr>
            <w:tcW w:w="4560" w:type="dxa"/>
            <w:shd w:val="clear" w:fill="EBF3FB"/>
          </w:tcPr>
          <w:p>
            <w:r>
              <w:rPr>
                <w:sz w:val="20"/>
              </w:rPr>
              <w:t>Implementation deadline extended from 3 April to 10 April 2026. Overall project deadline of 8 May 2026 is unaffected.</w:t>
            </w:r>
          </w:p>
        </w:tc>
        <w:tc>
          <w:tcPr>
            <w:tcW w:w="2400" w:type="dxa"/>
            <w:shd w:val="clear" w:fill="EBF3FB"/>
          </w:tcPr>
          <w:p>
            <w:r>
              <w:rPr>
                <w:sz w:val="20"/>
              </w:rPr>
              <w:t>Low</w:t>
            </w:r>
          </w:p>
        </w:tc>
      </w:tr>
      <w:tr>
        <w:tc>
          <w:tcPr>
            <w:tcW w:w="2400" w:type="dxa"/>
            <w:shd w:val="clear" w:fill="FFFFFF"/>
          </w:tcPr>
          <w:p>
            <w:r>
              <w:rPr>
                <w:sz w:val="20"/>
              </w:rPr>
              <w:t>Cost / Budget</w:t>
            </w:r>
          </w:p>
        </w:tc>
        <w:tc>
          <w:tcPr>
            <w:tcW w:w="4560" w:type="dxa"/>
            <w:shd w:val="clear" w:fill="FFFFFF"/>
          </w:tcPr>
          <w:p>
            <w:r>
              <w:rPr>
                <w:sz w:val="20"/>
              </w:rPr>
              <w:t>No additional cost. All features implemented using the existing open-source stack.</w:t>
            </w:r>
          </w:p>
        </w:tc>
        <w:tc>
          <w:tcPr>
            <w:tcW w:w="2400" w:type="dxa"/>
            <w:shd w:val="clear" w:fill="FFFFFF"/>
          </w:tcPr>
          <w:p>
            <w:r>
              <w:rPr>
                <w:sz w:val="20"/>
              </w:rPr>
              <w:t>None</w:t>
            </w:r>
          </w:p>
        </w:tc>
      </w:tr>
      <w:tr>
        <w:tc>
          <w:tcPr>
            <w:tcW w:w="2400" w:type="dxa"/>
            <w:shd w:val="clear" w:fill="EBF3FB"/>
          </w:tcPr>
          <w:p>
            <w:r>
              <w:rPr>
                <w:sz w:val="20"/>
              </w:rPr>
              <w:t>Code Quality</w:t>
            </w:r>
          </w:p>
        </w:tc>
        <w:tc>
          <w:tcPr>
            <w:tcW w:w="4560" w:type="dxa"/>
            <w:shd w:val="clear" w:fill="EBF3FB"/>
          </w:tcPr>
          <w:p>
            <w:r>
              <w:rPr>
                <w:sz w:val="20"/>
              </w:rPr>
              <w:t>Role-specific theming and deployment configuration improve the production quality and professional presentation of the system.</w:t>
            </w:r>
          </w:p>
        </w:tc>
        <w:tc>
          <w:tcPr>
            <w:tcW w:w="2400" w:type="dxa"/>
            <w:shd w:val="clear" w:fill="EBF3FB"/>
          </w:tcPr>
          <w:p>
            <w:r>
              <w:rPr>
                <w:sz w:val="20"/>
              </w:rPr>
              <w:t>Positive</w:t>
            </w:r>
          </w:p>
        </w:tc>
      </w:tr>
      <w:tr>
        <w:tc>
          <w:tcPr>
            <w:tcW w:w="2400" w:type="dxa"/>
            <w:shd w:val="clear" w:fill="FFFFFF"/>
          </w:tcPr>
          <w:p>
            <w:r>
              <w:rPr>
                <w:sz w:val="20"/>
              </w:rPr>
              <w:t>User Experience</w:t>
            </w:r>
          </w:p>
        </w:tc>
        <w:tc>
          <w:tcPr>
            <w:tcW w:w="4560" w:type="dxa"/>
            <w:shd w:val="clear" w:fill="FFFFFF"/>
          </w:tcPr>
          <w:p>
            <w:r>
              <w:rPr>
                <w:sz w:val="20"/>
              </w:rPr>
              <w:t>Attendance code system, session persistence, and report download significantly improve usability for lecturers and students.</w:t>
            </w:r>
          </w:p>
        </w:tc>
        <w:tc>
          <w:tcPr>
            <w:tcW w:w="2400" w:type="dxa"/>
            <w:shd w:val="clear" w:fill="FFFFFF"/>
          </w:tcPr>
          <w:p>
            <w:r>
              <w:rPr>
                <w:sz w:val="20"/>
              </w:rPr>
              <w:t>Positive</w:t>
            </w:r>
          </w:p>
        </w:tc>
      </w:tr>
    </w:tbl>
    <w:p w:rsidR="00AA0496" w:rsidRDefault="00AA0496">
      <w:pPr>
        <w:spacing w:before="0" w:after="200"/>
      </w:pPr>
    </w:p>
    <w:p w:rsidR="00AA0496" w:rsidRDefault="00AA0496">
      <w:pPr>
        <w:pBdr>
          <w:bottom w:val="single" w:sz="6" w:space="1" w:color="2E75B6"/>
        </w:pBdr>
        <w:spacing w:before="320" w:after="160"/>
      </w:pPr>
      <w:r>
        <w:rPr>
          <w:b/>
          <w:bCs/>
          <w:color w:val="1F3864"/>
          <w:sz w:val="28"/>
          <w:szCs w:val="28"/>
        </w:rPr>
        <w:t>3. Approval</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Pr>
      <w:tblGrid>
        <w:gridCol w:w="2500"/>
        <w:gridCol w:w="3500"/>
        <w:gridCol w:w="1680"/>
        <w:gridCol w:w="1680"/>
      </w:tblGrid>
      <w:tr>
        <w:tc>
          <w:tcPr>
            <w:tcW w:w="2500" w:type="dxa"/>
            <w:shd w:val="clear" w:fill="1F3864"/>
          </w:tcPr>
          <w:p>
            <w:r>
              <w:rPr>
                <w:b/>
                <w:color w:val="FFFFFF"/>
                <w:sz w:val="20"/>
              </w:rPr>
              <w:t>Role</w:t>
            </w:r>
          </w:p>
        </w:tc>
        <w:tc>
          <w:tcPr>
            <w:tcW w:w="3500" w:type="dxa"/>
            <w:shd w:val="clear" w:fill="1F3864"/>
          </w:tcPr>
          <w:p>
            <w:r>
              <w:rPr>
                <w:b/>
                <w:color w:val="FFFFFF"/>
                <w:sz w:val="20"/>
              </w:rPr>
              <w:t>Name / Student No.</w:t>
            </w:r>
          </w:p>
        </w:tc>
        <w:tc>
          <w:tcPr>
            <w:tcW w:w="1680" w:type="dxa"/>
            <w:shd w:val="clear" w:fill="1F3864"/>
          </w:tcPr>
          <w:p>
            <w:r>
              <w:rPr>
                <w:b/>
                <w:color w:val="FFFFFF"/>
                <w:sz w:val="20"/>
              </w:rPr>
              <w:t>Signature</w:t>
            </w:r>
          </w:p>
        </w:tc>
        <w:tc>
          <w:tcPr>
            <w:tcW w:w="1680" w:type="dxa"/>
            <w:shd w:val="clear" w:fill="1F3864"/>
          </w:tcPr>
          <w:p>
            <w:r>
              <w:rPr>
                <w:b/>
                <w:color w:val="FFFFFF"/>
                <w:sz w:val="20"/>
              </w:rPr>
              <w:t>Date</w:t>
            </w:r>
          </w:p>
        </w:tc>
      </w:tr>
      <w:tr>
        <w:tc>
          <w:tcPr>
            <w:tcW w:w="2500" w:type="dxa"/>
            <w:shd w:val="clear" w:fill="FFFFFF"/>
          </w:tcPr>
          <w:p>
            <w:r>
              <w:rPr>
                <w:sz w:val="20"/>
              </w:rPr>
              <w:t>Change Initiator</w:t>
            </w:r>
          </w:p>
        </w:tc>
        <w:tc>
          <w:tcPr>
            <w:tcW w:w="3500" w:type="dxa"/>
            <w:shd w:val="clear" w:fill="FFFFFF"/>
          </w:tcPr>
          <w:p>
            <w:r>
              <w:rPr>
                <w:sz w:val="20"/>
              </w:rPr>
              <w:t>Rakoloi, B.R. — 202321274</w:t>
            </w:r>
          </w:p>
        </w:tc>
        <w:tc>
          <w:tcPr>
            <w:tcW w:w="1680" w:type="dxa"/>
            <w:shd w:val="clear" w:fill="FFFFFF"/>
          </w:tcPr>
          <w:p>
            <w:r>
              <w:rPr>
                <w:sz w:val="20"/>
              </w:rPr>
              <w:t/>
            </w:r>
          </w:p>
        </w:tc>
        <w:tc>
          <w:tcPr>
            <w:tcW w:w="1680" w:type="dxa"/>
            <w:shd w:val="clear" w:fill="FFFFFF"/>
          </w:tcPr>
          <w:p>
            <w:r>
              <w:rPr>
                <w:sz w:val="20"/>
              </w:rPr>
              <w:t>1 April 2026</w:t>
            </w:r>
          </w:p>
        </w:tc>
      </w:tr>
      <w:tr>
        <w:tc>
          <w:tcPr>
            <w:tcW w:w="2500" w:type="dxa"/>
            <w:shd w:val="clear" w:fill="EBF3FB"/>
          </w:tcPr>
          <w:p>
            <w:r>
              <w:rPr>
                <w:sz w:val="20"/>
              </w:rPr>
              <w:t>Project Reviewer</w:t>
            </w:r>
          </w:p>
        </w:tc>
        <w:tc>
          <w:tcPr>
            <w:tcW w:w="3500" w:type="dxa"/>
            <w:shd w:val="clear" w:fill="EBF3FB"/>
          </w:tcPr>
          <w:p>
            <w:r>
              <w:rPr>
                <w:sz w:val="20"/>
              </w:rPr>
              <w:t>Makhang, L.M. — 202322596</w:t>
            </w:r>
          </w:p>
        </w:tc>
        <w:tc>
          <w:tcPr>
            <w:tcW w:w="1680" w:type="dxa"/>
            <w:shd w:val="clear" w:fill="EBF3FB"/>
          </w:tcPr>
          <w:p>
            <w:r>
              <w:rPr>
                <w:sz w:val="20"/>
              </w:rPr>
              <w:t/>
            </w:r>
          </w:p>
        </w:tc>
        <w:tc>
          <w:tcPr>
            <w:tcW w:w="1680" w:type="dxa"/>
            <w:shd w:val="clear" w:fill="EBF3FB"/>
          </w:tcPr>
          <w:p>
            <w:r>
              <w:rPr>
                <w:sz w:val="20"/>
              </w:rPr>
              <w:t>2 April 2026</w:t>
            </w:r>
          </w:p>
        </w:tc>
      </w:tr>
      <w:tr>
        <w:tc>
          <w:tcPr>
            <w:tcW w:w="2500" w:type="dxa"/>
            <w:shd w:val="clear" w:fill="FFFFFF"/>
          </w:tcPr>
          <w:p>
            <w:r>
              <w:rPr>
                <w:sz w:val="20"/>
              </w:rPr>
              <w:t>Team Consensus</w:t>
            </w:r>
          </w:p>
        </w:tc>
        <w:tc>
          <w:tcPr>
            <w:tcW w:w="3500" w:type="dxa"/>
            <w:shd w:val="clear" w:fill="FFFFFF"/>
          </w:tcPr>
          <w:p>
            <w:r>
              <w:rPr>
                <w:sz w:val="20"/>
              </w:rPr>
              <w:t>All Members</w:t>
            </w:r>
          </w:p>
        </w:tc>
        <w:tc>
          <w:tcPr>
            <w:tcW w:w="1680" w:type="dxa"/>
            <w:shd w:val="clear" w:fill="FFFFFF"/>
          </w:tcPr>
          <w:p>
            <w:r>
              <w:rPr>
                <w:sz w:val="20"/>
              </w:rPr>
              <w:t/>
            </w:r>
          </w:p>
        </w:tc>
        <w:tc>
          <w:tcPr>
            <w:tcW w:w="1680" w:type="dxa"/>
            <w:shd w:val="clear" w:fill="FFFFFF"/>
          </w:tcPr>
          <w:p>
            <w:r>
              <w:rPr>
                <w:sz w:val="20"/>
              </w:rPr>
              <w:t>2 April 2026</w:t>
            </w:r>
          </w:p>
        </w:tc>
      </w:tr>
    </w:tbl>
    <w:p w:rsidR="00AA0496" w:rsidRDefault="00AA0496">
      <w:pPr>
        <w:spacing w:before="0" w:after="200"/>
      </w:pPr>
    </w:p>
    <w:p w:rsidR="00AA0496" w:rsidRDefault="0062728A">
      <w:pPr>
        <w:jc w:val="center"/>
      </w:pPr>
      <w:r>
        <w:rPr>
          <w:i/>
          <w:iCs/>
          <w:color w:val="888888"/>
          <w:sz w:val="18"/>
          <w:szCs w:val="18"/>
        </w:rPr>
        <w:t>Prepared by the CS3430 Project Team — National University of Lesotho</w:t>
      </w:r>
    </w:p>
    <w:sectPr w:rsidR="00AA04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BC4472"/>
    <w:multiLevelType w:val="hybridMultilevel"/>
    <w:tmpl w:val="37E4A582"/>
    <w:lvl w:ilvl="0" w:tplc="1706A288">
      <w:start w:val="1"/>
      <w:numFmt w:val="bullet"/>
      <w:lvlText w:val="•"/>
      <w:lvlJc w:val="left"/>
      <w:pPr>
        <w:ind w:left="720" w:hanging="360"/>
      </w:pPr>
    </w:lvl>
    <w:lvl w:ilvl="1" w:tplc="C3CE5772">
      <w:numFmt w:val="decimal"/>
      <w:lvlText w:val=""/>
      <w:lvlJc w:val="left"/>
    </w:lvl>
    <w:lvl w:ilvl="2" w:tplc="2E38A32A">
      <w:numFmt w:val="decimal"/>
      <w:lvlText w:val=""/>
      <w:lvlJc w:val="left"/>
    </w:lvl>
    <w:lvl w:ilvl="3" w:tplc="ED70A434">
      <w:numFmt w:val="decimal"/>
      <w:lvlText w:val=""/>
      <w:lvlJc w:val="left"/>
    </w:lvl>
    <w:lvl w:ilvl="4" w:tplc="DB54DF56">
      <w:numFmt w:val="decimal"/>
      <w:lvlText w:val=""/>
      <w:lvlJc w:val="left"/>
    </w:lvl>
    <w:lvl w:ilvl="5" w:tplc="6A20BA02">
      <w:numFmt w:val="decimal"/>
      <w:lvlText w:val=""/>
      <w:lvlJc w:val="left"/>
    </w:lvl>
    <w:lvl w:ilvl="6" w:tplc="7EE69AE0">
      <w:numFmt w:val="decimal"/>
      <w:lvlText w:val=""/>
      <w:lvlJc w:val="left"/>
    </w:lvl>
    <w:lvl w:ilvl="7" w:tplc="07826B32">
      <w:numFmt w:val="decimal"/>
      <w:lvlText w:val=""/>
      <w:lvlJc w:val="left"/>
    </w:lvl>
    <w:lvl w:ilvl="8" w:tplc="EEBAF01E">
      <w:numFmt w:val="decimal"/>
      <w:lvlText w:val=""/>
      <w:lvlJc w:val="left"/>
    </w:lvl>
  </w:abstractNum>
  <w:abstractNum w:abstractNumId="1" w15:restartNumberingAfterBreak="0">
    <w:nsid w:val="52CF19DF"/>
    <w:multiLevelType w:val="hybridMultilevel"/>
    <w:tmpl w:val="5C84AE5A"/>
    <w:lvl w:ilvl="0" w:tplc="2EA4C400">
      <w:start w:val="1"/>
      <w:numFmt w:val="bullet"/>
      <w:lvlText w:val="●"/>
      <w:lvlJc w:val="left"/>
      <w:pPr>
        <w:ind w:left="720" w:hanging="360"/>
      </w:pPr>
    </w:lvl>
    <w:lvl w:ilvl="1" w:tplc="A7AE72C6">
      <w:start w:val="1"/>
      <w:numFmt w:val="bullet"/>
      <w:lvlText w:val="○"/>
      <w:lvlJc w:val="left"/>
      <w:pPr>
        <w:ind w:left="1440" w:hanging="360"/>
      </w:pPr>
    </w:lvl>
    <w:lvl w:ilvl="2" w:tplc="B36E33DA">
      <w:start w:val="1"/>
      <w:numFmt w:val="bullet"/>
      <w:lvlText w:val="■"/>
      <w:lvlJc w:val="left"/>
      <w:pPr>
        <w:ind w:left="2160" w:hanging="360"/>
      </w:pPr>
    </w:lvl>
    <w:lvl w:ilvl="3" w:tplc="AF748E7C">
      <w:start w:val="1"/>
      <w:numFmt w:val="bullet"/>
      <w:lvlText w:val="●"/>
      <w:lvlJc w:val="left"/>
      <w:pPr>
        <w:ind w:left="2880" w:hanging="360"/>
      </w:pPr>
    </w:lvl>
    <w:lvl w:ilvl="4" w:tplc="CBC60C1A">
      <w:start w:val="1"/>
      <w:numFmt w:val="bullet"/>
      <w:lvlText w:val="○"/>
      <w:lvlJc w:val="left"/>
      <w:pPr>
        <w:ind w:left="3600" w:hanging="360"/>
      </w:pPr>
    </w:lvl>
    <w:lvl w:ilvl="5" w:tplc="C00C32EE">
      <w:start w:val="1"/>
      <w:numFmt w:val="bullet"/>
      <w:lvlText w:val="■"/>
      <w:lvlJc w:val="left"/>
      <w:pPr>
        <w:ind w:left="4320" w:hanging="360"/>
      </w:pPr>
    </w:lvl>
    <w:lvl w:ilvl="6" w:tplc="41E44602">
      <w:start w:val="1"/>
      <w:numFmt w:val="bullet"/>
      <w:lvlText w:val="●"/>
      <w:lvlJc w:val="left"/>
      <w:pPr>
        <w:ind w:left="5040" w:hanging="360"/>
      </w:pPr>
    </w:lvl>
    <w:lvl w:ilvl="7" w:tplc="46905734">
      <w:start w:val="1"/>
      <w:numFmt w:val="bullet"/>
      <w:lvlText w:val="●"/>
      <w:lvlJc w:val="left"/>
      <w:pPr>
        <w:ind w:left="5760" w:hanging="360"/>
      </w:pPr>
    </w:lvl>
    <w:lvl w:ilvl="8" w:tplc="F9C6E56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496"/>
    <w:rsid w:val="00607850"/>
    <w:rsid w:val="0062728A"/>
    <w:rsid w:val="00AA0496"/>
    <w:rsid w:val="00B55D0E"/>
    <w:rsid w:val="00B614D6"/>
    <w:rsid w:val="00F55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A454B"/>
  <w15:docId w15:val="{8A06011B-8F00-4A1B-BB62-EADE00DA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2026-04-01T16:36:00Z</dcterms:created>
  <dcterms:modified xsi:type="dcterms:W3CDTF">2026-04-01T16:36:00Z</dcterms:modified>
</cp:coreProperties>
</file>