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Cloud Platform for Lab Robotics Data Collection &amp; Training</w:t>
      </w:r>
    </w:p>
    <w:p>
      <w:pPr>
        <w:spacing w:after="400"/>
        <w:jc w:val="center"/>
      </w:pPr>
      <w:r>
        <w:rPr>
          <w:i/>
          <w:iCs/>
          <w:color w:val="4a5568"/>
          <w:sz w:val="24"/>
          <w:szCs w:val="24"/>
        </w:rPr>
        <w:t xml:space="preserve">Business Concept Document — Revised with Verified Sources</w:t>
      </w:r>
    </w:p>
    <w:p>
      <w:pPr>
        <w:shd w:fill="FEF3C7" w:val="clear"/>
        <w:spacing w:before="200" w:after="200"/>
      </w:pPr>
      <w:r>
        <w:rPr>
          <w:b/>
          <w:bCs/>
        </w:rPr>
        <w:t xml:space="preserve">Note: </w:t>
      </w:r>
      <w:r>
        <w:t xml:space="preserve">This document has been revised to remove unverified claims and include citations for factual assertions. Where original claims could not be verified, they have been removed or marked as requiring further research.</w:t>
      </w:r>
    </w:p>
    <w:p>
      <w:pPr>
        <w:pStyle w:val="Heading1"/>
      </w:pPr>
      <w:r>
        <w:t xml:space="preserve">Market Context</w:t>
      </w:r>
    </w:p>
    <w:p>
      <w:pPr>
        <w:pStyle w:val="Heading2"/>
      </w:pPr>
      <w:r>
        <w:t xml:space="preserve">Laboratory Automation Market Size</w:t>
      </w:r>
    </w:p>
    <w:p>
      <w:r>
        <w:t xml:space="preserve">Market research firms provide varying estimates for the laboratory automation market:</w:t>
      </w:r>
    </w:p>
    <w:p>
      <w:pPr>
        <w:pStyle w:val="ListParagraph"/>
        <w:numPr>
          <w:ilvl w:val="0"/>
          <w:numId w:val="2"/>
        </w:numPr>
      </w:pPr>
      <w:r>
        <w:rPr>
          <w:b/>
          <w:bCs/>
        </w:rPr>
        <w:t xml:space="preserve">Grand View Research: </w:t>
      </w:r>
      <w:r>
        <w:t xml:space="preserve">Estimates the global lab automation market at USD 8.27 billion in 2024, projecting growth to USD 18.39 billion by 2033 at a 9.3% CAGR.</w:t>
      </w:r>
    </w:p>
    <w:p>
      <w:pPr>
        <w:pStyle w:val="ListParagraph"/>
        <w:numPr>
          <w:ilvl w:val="0"/>
          <w:numId w:val="2"/>
        </w:numPr>
      </w:pPr>
      <w:r>
        <w:rPr>
          <w:b/>
          <w:bCs/>
        </w:rPr>
        <w:t xml:space="preserve">Precedence Research: </w:t>
      </w:r>
      <w:r>
        <w:t xml:space="preserve">Values the market at USD 7.84 billion in 2024, projecting USD 14.78 billion by 2034 at 6.55% CAGR.</w:t>
      </w:r>
    </w:p>
    <w:p>
      <w:pPr>
        <w:pStyle w:val="ListParagraph"/>
        <w:numPr>
          <w:ilvl w:val="0"/>
          <w:numId w:val="2"/>
        </w:numPr>
      </w:pPr>
      <w:r>
        <w:rPr>
          <w:b/>
          <w:bCs/>
        </w:rPr>
        <w:t xml:space="preserve">Lucintel: </w:t>
      </w:r>
      <w:r>
        <w:t xml:space="preserve">Projects the market reaching approximately $9.0 billion by 2030 with a 6.2% CAGR from 2024.</w:t>
      </w:r>
    </w:p>
    <w:p>
      <w:pPr>
        <w:pStyle w:val="Source"/>
      </w:pPr>
      <w:r>
        <w:t xml:space="preserve">Sources: Grand View Research, Precedence Research, and Lucintel market reports (2024-2025)</w:t>
      </w:r>
    </w:p>
    <w:p>
      <w:pPr>
        <w:pStyle w:val="Heading2"/>
      </w:pPr>
      <w:r>
        <w:t xml:space="preserve">Emerging Trends in Autonomous Labs</w:t>
      </w:r>
    </w:p>
    <w:p>
      <w:r>
        <w:t xml:space="preserve">Recent peer-reviewed research demonstrates growing interest in self-driving laboratories:</w:t>
      </w:r>
    </w:p>
    <w:p>
      <w:pPr>
        <w:pStyle w:val="ListParagraph"/>
        <w:numPr>
          <w:ilvl w:val="0"/>
          <w:numId w:val="2"/>
        </w:numPr>
      </w:pPr>
      <w:r>
        <w:t xml:space="preserve">Nature published research on autonomous laboratories for accelerated materials synthesis (Szymanski et al., 2023), demonstrating that an AI-driven "A-Lab" synthesized 41 novel compounds in 17 days of continuous operation.</w:t>
      </w:r>
    </w:p>
    <w:p>
      <w:pPr>
        <w:pStyle w:val="ListParagraph"/>
        <w:numPr>
          <w:ilvl w:val="0"/>
          <w:numId w:val="2"/>
        </w:numPr>
      </w:pPr>
      <w:r>
        <w:t xml:space="preserve">Nature Chemical Engineering published work on self-driving laboratories for protein engineering (Rapp et al., 2024), presenting the SAMPLE platform for fully autonomous protein engineering.</w:t>
      </w:r>
    </w:p>
    <w:p>
      <w:pPr>
        <w:pStyle w:val="ListParagraph"/>
        <w:numPr>
          <w:ilvl w:val="0"/>
          <w:numId w:val="2"/>
        </w:numPr>
      </w:pPr>
      <w:r>
        <w:t xml:space="preserve">Nature identified self-driving laboratories as one of "seven technologies to watch in 2025."</w:t>
      </w:r>
    </w:p>
    <w:p>
      <w:pPr>
        <w:pStyle w:val="ListParagraph"/>
        <w:numPr>
          <w:ilvl w:val="0"/>
          <w:numId w:val="2"/>
        </w:numPr>
      </w:pPr>
      <w:r>
        <w:t xml:space="preserve">Nature (November 2024) published research on autonomous mobile robots for exploratory synthetic chemistry, demonstrating modular robotic workflows that integrate synthesis with multiple analysis platforms.</w:t>
      </w:r>
    </w:p>
    <w:p>
      <w:pPr>
        <w:pStyle w:val="Source"/>
      </w:pPr>
      <w:r>
        <w:t xml:space="preserve">Sources: Nature 624, 86-91 (2023); Nature Chemical Engineering 1, 97-107 (2024); Nature (d41586-025-00075-6); Nature 635, 890-897 (2024)</w:t>
      </w:r>
    </w:p>
    <w:p>
      <w:pPr>
        <w:pStyle w:val="Heading2"/>
      </w:pPr>
      <w:r>
        <w:t xml:space="preserve">Cloud Lab Industry Status</w:t>
      </w:r>
    </w:p>
    <w:p>
      <w:r>
        <w:t xml:space="preserve">The cloud laboratory sector has faced significant challenges:</w:t>
      </w:r>
    </w:p>
    <w:p>
      <w:pPr>
        <w:pStyle w:val="ListParagraph"/>
        <w:numPr>
          <w:ilvl w:val="0"/>
          <w:numId w:val="2"/>
        </w:numPr>
      </w:pPr>
      <w:r>
        <w:rPr>
          <w:b/>
          <w:bCs/>
        </w:rPr>
        <w:t xml:space="preserve">Strateos: </w:t>
      </w:r>
      <w:r>
        <w:t xml:space="preserve">Announced a strategic shift in April 2023 to focus on on-site cloud labs rather than centralized remote facilities. According to PNAS (2024), the company "announced it was restructuring" and could not be reached regarding its operating status.</w:t>
      </w:r>
    </w:p>
    <w:p>
      <w:pPr>
        <w:pStyle w:val="ListParagraph"/>
        <w:numPr>
          <w:ilvl w:val="0"/>
          <w:numId w:val="2"/>
        </w:numPr>
      </w:pPr>
      <w:r>
        <w:rPr>
          <w:b/>
          <w:bCs/>
        </w:rPr>
        <w:t xml:space="preserve">Emerald Cloud Lab: </w:t>
      </w:r>
      <w:r>
        <w:t xml:space="preserve">Continues operating its facility (relocated to Austin, TX) and partnered with Carnegie Mellon University to build a $40 million academic cloud lab featuring over 200 automated instruments.</w:t>
      </w:r>
    </w:p>
    <w:p>
      <w:pPr>
        <w:pStyle w:val="ListParagraph"/>
        <w:numPr>
          <w:ilvl w:val="0"/>
          <w:numId w:val="2"/>
        </w:numPr>
      </w:pPr>
      <w:r>
        <w:rPr>
          <w:b/>
          <w:bCs/>
        </w:rPr>
        <w:t xml:space="preserve">Scispot: </w:t>
      </w:r>
      <w:r>
        <w:t xml:space="preserve">A Y Combinator-backed (YC S21) company focused on lab data infrastructure and workflow automation, not a cloud lab operator. The company describes itself as providing "the best data infrastructure for biotech."</w:t>
      </w:r>
    </w:p>
    <w:p>
      <w:pPr>
        <w:pStyle w:val="Source"/>
      </w:pPr>
      <w:r>
        <w:t xml:space="preserve">Sources: PNAS 121(17) e2406320121 (2024); Advanced Materials Technologies (2024); YC company profile; Scispot company website</w:t>
      </w:r>
    </w:p>
    <w:p>
      <w:pPr>
        <w:pStyle w:val="Heading1"/>
      </w:pPr>
      <w:r>
        <w:t xml:space="preserve">Competitive Landscape</w:t>
      </w:r>
    </w:p>
    <w:p>
      <w:pPr>
        <w:pStyle w:val="Heading2"/>
      </w:pPr>
      <w:r>
        <w:t xml:space="preserve">NVIDIA Isaac Platform</w:t>
      </w:r>
    </w:p>
    <w:p>
      <w:r>
        <w:t xml:space="preserve">NVIDIA Isaac is an AI robot development platform with libraries, application frameworks, and AI models for autonomous mobile robots, humanoids, and other robotic systems. Key components include:</w:t>
      </w:r>
    </w:p>
    <w:p>
      <w:pPr>
        <w:pStyle w:val="ListParagraph"/>
        <w:numPr>
          <w:ilvl w:val="0"/>
          <w:numId w:val="2"/>
        </w:numPr>
      </w:pPr>
      <w:r>
        <w:rPr>
          <w:b/>
          <w:bCs/>
        </w:rPr>
        <w:t xml:space="preserve">Isaac Lab: </w:t>
      </w:r>
      <w:r>
        <w:t xml:space="preserve">An open-source, GPU-accelerated framework for robot learning built on Isaac Sim, supporting reinforcement and imitation learning at scale.</w:t>
      </w:r>
    </w:p>
    <w:p>
      <w:pPr>
        <w:pStyle w:val="ListParagraph"/>
        <w:numPr>
          <w:ilvl w:val="0"/>
          <w:numId w:val="2"/>
        </w:numPr>
      </w:pPr>
      <w:r>
        <w:rPr>
          <w:b/>
          <w:bCs/>
        </w:rPr>
        <w:t xml:space="preserve">Isaac GR00T: </w:t>
      </w:r>
      <w:r>
        <w:t xml:space="preserve">A research initiative for general-purpose robot foundation models, with open models like GR00T N1 for humanoid robotics.</w:t>
      </w:r>
    </w:p>
    <w:p>
      <w:pPr>
        <w:pStyle w:val="ListParagraph"/>
        <w:numPr>
          <w:ilvl w:val="0"/>
          <w:numId w:val="2"/>
        </w:numPr>
      </w:pPr>
      <w:r>
        <w:rPr>
          <w:b/>
          <w:bCs/>
        </w:rPr>
        <w:t xml:space="preserve">Newton Physics Engine: </w:t>
      </w:r>
      <w:r>
        <w:t xml:space="preserve">An open-source, GPU-accelerated physics engine co-developed with Google DeepMind and Disney Research.</w:t>
      </w:r>
    </w:p>
    <w:p>
      <w:r>
        <w:rPr>
          <w:b/>
          <w:bCs/>
        </w:rPr>
        <w:t xml:space="preserve">Focus: </w:t>
      </w:r>
      <w:r>
        <w:t xml:space="preserve">General robotics (humanoids, AMRs, manipulators) rather than laboratory-specific applications.</w:t>
      </w:r>
    </w:p>
    <w:p>
      <w:pPr>
        <w:pStyle w:val="Source"/>
      </w:pPr>
      <w:r>
        <w:t xml:space="preserve">Source: NVIDIA Developer documentation and newsroom (2024-2025)</w:t>
      </w:r>
    </w:p>
    <w:p>
      <w:pPr>
        <w:pStyle w:val="Heading2"/>
      </w:pPr>
      <w:r>
        <w:t xml:space="preserve">a16z ARES Platform</w:t>
      </w:r>
    </w:p>
    <w:p>
      <w:r>
        <w:t xml:space="preserve">Andreessen Horowitz released ARES (Automatic Robot Evaluation System) in April 2025 as an open-source platform for robot data. Key characteristics:</w:t>
      </w:r>
    </w:p>
    <w:p>
      <w:pPr>
        <w:pStyle w:val="ListParagraph"/>
        <w:numPr>
          <w:ilvl w:val="0"/>
          <w:numId w:val="2"/>
        </w:numPr>
      </w:pPr>
      <w:r>
        <w:t xml:space="preserve">Open-source (Apache 2.0 license) platform for ingesting, curating, and evaluating robot data</w:t>
      </w:r>
    </w:p>
    <w:p>
      <w:pPr>
        <w:pStyle w:val="ListParagraph"/>
        <w:numPr>
          <w:ilvl w:val="0"/>
          <w:numId w:val="2"/>
        </w:numPr>
      </w:pPr>
      <w:r>
        <w:t xml:space="preserve">Uses ML models to understand policy performance and generate new datasets</w:t>
      </w:r>
    </w:p>
    <w:p>
      <w:pPr>
        <w:pStyle w:val="ListParagraph"/>
        <w:numPr>
          <w:ilvl w:val="0"/>
          <w:numId w:val="2"/>
        </w:numPr>
      </w:pPr>
      <w:r>
        <w:t xml:space="preserve">Designed as "simple and scalable" with focus on ML-driven approaches</w:t>
      </w:r>
    </w:p>
    <w:p>
      <w:pPr>
        <w:pStyle w:val="ListParagraph"/>
        <w:numPr>
          <w:ilvl w:val="0"/>
          <w:numId w:val="2"/>
        </w:numPr>
      </w:pPr>
      <w:r>
        <w:rPr>
          <w:b/>
          <w:bCs/>
        </w:rPr>
        <w:t xml:space="preserve">Focus: </w:t>
      </w:r>
      <w:r>
        <w:t xml:space="preserve">General robotics research, not laboratory-specific</w:t>
      </w:r>
    </w:p>
    <w:p>
      <w:pPr>
        <w:pStyle w:val="Source"/>
      </w:pPr>
      <w:r>
        <w:t xml:space="preserve">Source: a16z blog (April 2025); GitHub repository jacobphillips99/ares</w:t>
      </w:r>
    </w:p>
    <w:p>
      <w:pPr>
        <w:pStyle w:val="Heading2"/>
      </w:pPr>
      <w:r>
        <w:t xml:space="preserve">Hugging Face (Comparative Reference)</w:t>
      </w:r>
    </w:p>
    <w:p>
      <w:r>
        <w:t xml:space="preserve">Hugging Face serves as a model for AI platform development:</w:t>
      </w:r>
    </w:p>
    <w:p>
      <w:pPr>
        <w:pStyle w:val="ListParagraph"/>
        <w:numPr>
          <w:ilvl w:val="0"/>
          <w:numId w:val="2"/>
        </w:numPr>
      </w:pPr>
      <w:r>
        <w:rPr>
          <w:b/>
          <w:bCs/>
        </w:rPr>
        <w:t xml:space="preserve">Valuation: </w:t>
      </w:r>
      <w:r>
        <w:t xml:space="preserve">$4.5 billion following a $235 million Series D round in August 2023</w:t>
      </w:r>
    </w:p>
    <w:p>
      <w:pPr>
        <w:pStyle w:val="ListParagraph"/>
        <w:numPr>
          <w:ilvl w:val="0"/>
          <w:numId w:val="2"/>
        </w:numPr>
      </w:pPr>
      <w:r>
        <w:rPr>
          <w:b/>
          <w:bCs/>
        </w:rPr>
        <w:t xml:space="preserve">Investors: </w:t>
      </w:r>
      <w:r>
        <w:t xml:space="preserve">Google, Amazon, Nvidia, Intel, AMD, Qualcomm, IBM, Salesforce, and Sound Ventures</w:t>
      </w:r>
    </w:p>
    <w:p>
      <w:pPr>
        <w:pStyle w:val="ListParagraph"/>
        <w:numPr>
          <w:ilvl w:val="0"/>
          <w:numId w:val="2"/>
        </w:numPr>
      </w:pPr>
      <w:r>
        <w:rPr>
          <w:b/>
          <w:bCs/>
        </w:rPr>
        <w:t xml:space="preserve">Revenue: </w:t>
      </w:r>
      <w:r>
        <w:t xml:space="preserve">Estimates vary from $70M ARR (Sacra, end of 2023) to $130.1M (Latka, October 2024)</w:t>
      </w:r>
    </w:p>
    <w:p>
      <w:pPr>
        <w:pStyle w:val="ListParagraph"/>
        <w:numPr>
          <w:ilvl w:val="0"/>
          <w:numId w:val="2"/>
        </w:numPr>
      </w:pPr>
      <w:r>
        <w:rPr>
          <w:b/>
          <w:bCs/>
        </w:rPr>
        <w:t xml:space="preserve">Platform: </w:t>
      </w:r>
      <w:r>
        <w:t xml:space="preserve">Hosts over 1 million models, datasets, and apps; serves 10,000+ companies</w:t>
      </w:r>
    </w:p>
    <w:p>
      <w:pPr>
        <w:pStyle w:val="Source"/>
      </w:pPr>
      <w:r>
        <w:t xml:space="preserve">Sources: TechCrunch (Aug 2023); Bloomberg (Aug 2023); Sacra research; Latka.com</w:t>
      </w:r>
    </w:p>
    <w:p>
      <w:pPr>
        <w:pStyle w:val="Heading1"/>
      </w:pPr>
      <w:r>
        <w:t xml:space="preserve">Key Industry Players</w:t>
      </w:r>
    </w:p>
    <w:p>
      <w:pPr>
        <w:pStyle w:val="Heading2"/>
      </w:pPr>
      <w:r>
        <w:t xml:space="preserve">Opentrons</w:t>
      </w:r>
    </w:p>
    <w:p>
      <w:pPr>
        <w:pStyle w:val="ListParagraph"/>
        <w:numPr>
          <w:ilvl w:val="0"/>
          <w:numId w:val="2"/>
        </w:numPr>
      </w:pPr>
      <w:r>
        <w:rPr>
          <w:b/>
          <w:bCs/>
        </w:rPr>
        <w:t xml:space="preserve">Funding: </w:t>
      </w:r>
      <w:r>
        <w:t xml:space="preserve">Approximately $240-309 million total, including a $200 million Series C in September 2021 led by SoftBank Vision Fund 2</w:t>
      </w:r>
    </w:p>
    <w:p>
      <w:pPr>
        <w:pStyle w:val="ListParagraph"/>
        <w:numPr>
          <w:ilvl w:val="0"/>
          <w:numId w:val="2"/>
        </w:numPr>
      </w:pPr>
      <w:r>
        <w:rPr>
          <w:b/>
          <w:bCs/>
        </w:rPr>
        <w:t xml:space="preserve">Valuation: </w:t>
      </w:r>
      <w:r>
        <w:t xml:space="preserve">Reported at $1.8 billion following the 2021 Series C</w:t>
      </w:r>
    </w:p>
    <w:p>
      <w:pPr>
        <w:pStyle w:val="ListParagraph"/>
        <w:numPr>
          <w:ilvl w:val="0"/>
          <w:numId w:val="2"/>
        </w:numPr>
      </w:pPr>
      <w:r>
        <w:rPr>
          <w:b/>
          <w:bCs/>
        </w:rPr>
        <w:t xml:space="preserve">Revenue: </w:t>
      </w:r>
      <w:r>
        <w:t xml:space="preserve">Estimates range from $45M (Latka, June 2024) to $50-100M (LeadIQ)</w:t>
      </w:r>
    </w:p>
    <w:p>
      <w:pPr>
        <w:pStyle w:val="ListParagraph"/>
        <w:numPr>
          <w:ilvl w:val="0"/>
          <w:numId w:val="2"/>
        </w:numPr>
      </w:pPr>
      <w:r>
        <w:rPr>
          <w:b/>
          <w:bCs/>
        </w:rPr>
        <w:t xml:space="preserve">Products: </w:t>
      </w:r>
      <w:r>
        <w:t xml:space="preserve">OT-2 and Opentrons Flex liquid handling robots, with pricing starting around $5,000-$10,000</w:t>
      </w:r>
    </w:p>
    <w:p>
      <w:pPr>
        <w:pStyle w:val="Source"/>
      </w:pPr>
      <w:r>
        <w:t xml:space="preserve">Sources: Fierce Biotech (Sept 2021); PitchBook; Tracxn; Latka.com; LeadIQ</w:t>
      </w:r>
    </w:p>
    <w:p>
      <w:pPr>
        <w:pStyle w:val="Heading1"/>
      </w:pPr>
      <w:r>
        <w:t xml:space="preserve">Robot Reliability Data</w:t>
      </w:r>
    </w:p>
    <w:p>
      <w:pPr>
        <w:shd w:fill="FED7D7" w:val="clear"/>
        <w:spacing w:before="200" w:after="200"/>
      </w:pPr>
      <w:r>
        <w:rPr>
          <w:b/>
          <w:bCs/>
        </w:rPr>
        <w:t xml:space="preserve">Correction: </w:t>
      </w:r>
      <w:r>
        <w:t xml:space="preserve">The original document claimed "20-30% failure rate" for lab robots. This specific figure for laboratory robots could not be verified. Available data pertains to industrial robotics more broadly.</w:t>
      </w:r>
    </w:p>
    <w:p>
      <w:r>
        <w:rPr>
          <w:b/>
          <w:bCs/>
        </w:rPr>
        <w:t xml:space="preserve">Available reliability data from industrial robotics:</w:t>
      </w:r>
    </w:p>
    <w:p>
      <w:pPr>
        <w:pStyle w:val="ListParagraph"/>
        <w:numPr>
          <w:ilvl w:val="0"/>
          <w:numId w:val="2"/>
        </w:numPr>
      </w:pPr>
      <w:r>
        <w:t xml:space="preserve">According to the International Journal of Performability Engineering (cited in Robot Report, 2024), the average reliability of robot cells is approximately 88%, meaning cells are non-operational about 12% of the time.</w:t>
      </w:r>
    </w:p>
    <w:p>
      <w:pPr>
        <w:pStyle w:val="ListParagraph"/>
        <w:numPr>
          <w:ilvl w:val="0"/>
          <w:numId w:val="2"/>
        </w:numPr>
      </w:pPr>
      <w:r>
        <w:t xml:space="preserve">The same research indicates mean time to failure in robot cells is approximately 87 minutes.</w:t>
      </w:r>
    </w:p>
    <w:p>
      <w:pPr>
        <w:pStyle w:val="ListParagraph"/>
        <w:numPr>
          <w:ilvl w:val="0"/>
          <w:numId w:val="2"/>
        </w:numPr>
      </w:pPr>
      <w:r>
        <w:t xml:space="preserve">Critically, data from 400+ factories shows that 80% of robot cell stoppages are not related to the robot itself but to peripheral equipment (conveyors, sensors, end-effectors).</w:t>
      </w:r>
    </w:p>
    <w:p>
      <w:pPr>
        <w:pStyle w:val="ListParagraph"/>
        <w:numPr>
          <w:ilvl w:val="0"/>
          <w:numId w:val="2"/>
        </w:numPr>
      </w:pPr>
      <w:r>
        <w:t xml:space="preserve">Modern robots from manufacturers like FANUC report Mean Time Between Failure (MTBF) specifications of 40,000-100,000 hours.</w:t>
      </w:r>
    </w:p>
    <w:p>
      <w:pPr>
        <w:pStyle w:val="Source"/>
      </w:pPr>
      <w:r>
        <w:t xml:space="preserve">Sources: The Robot Report (Jan 2024); International Journal of Performability Engineering; Formic.co</w:t>
      </w:r>
    </w:p>
    <w:p>
      <w:r>
        <w:rPr>
          <w:b/>
          <w:bCs/>
        </w:rPr>
        <w:t xml:space="preserve">Laboratory-specific automation notes:</w:t>
      </w:r>
    </w:p>
    <w:p>
      <w:pPr>
        <w:pStyle w:val="ListParagraph"/>
        <w:numPr>
          <w:ilvl w:val="0"/>
          <w:numId w:val="2"/>
        </w:numPr>
      </w:pPr>
      <w:r>
        <w:t xml:space="preserve">A 2025 Nature article on lab automation noted that "robots can also propagate errors" and cautioned about potential "catastrophic failure" modes in automated labs.</w:t>
      </w:r>
    </w:p>
    <w:p>
      <w:pPr>
        <w:pStyle w:val="ListParagraph"/>
        <w:numPr>
          <w:ilvl w:val="0"/>
          <w:numId w:val="2"/>
        </w:numPr>
      </w:pPr>
      <w:r>
        <w:t xml:space="preserve">A Scientific Reports study (2025) on camera-assisted robotic systems achieved an in-house error rate of 1.69% for automated digital display recognition.</w:t>
      </w:r>
    </w:p>
    <w:p>
      <w:pPr>
        <w:pStyle w:val="Source"/>
      </w:pPr>
      <w:r>
        <w:t xml:space="preserve">Sources: Nature (d41586-024-03714-6, Nov 2024); Scientific Reports (2025)</w:t>
      </w:r>
    </w:p>
    <w:p>
      <w:pPr>
        <w:pStyle w:val="Heading1"/>
      </w:pPr>
      <w:r>
        <w:t xml:space="preserve">Product Concept: LabLearn Platform</w:t>
      </w:r>
    </w:p>
    <w:p>
      <w:pPr>
        <w:shd w:fill="E6FFFA" w:val="clear"/>
        <w:spacing w:before="200" w:after="200"/>
      </w:pPr>
      <w:r>
        <w:rPr>
          <w:b/>
          <w:bCs/>
        </w:rPr>
        <w:t xml:space="preserve">Note: </w:t>
      </w:r>
      <w:r>
        <w:t xml:space="preserve">The following product concept and business model are proposals requiring market validation. Financial projections are illustrative and would require industry research to verify feasibility.</w:t>
      </w:r>
    </w:p>
    <w:p>
      <w:pPr>
        <w:pStyle w:val="Heading2"/>
      </w:pPr>
      <w:r>
        <w:t xml:space="preserve">Core Value Proposition (Proposed)</w:t>
      </w:r>
    </w:p>
    <w:p>
      <w:r>
        <w:t xml:space="preserve">A cloud platform for collecting, standardizing, and leveraging training data from laboratory robots to improve automation performance.</w:t>
      </w:r>
    </w:p>
    <w:p>
      <w:pPr>
        <w:pStyle w:val="Heading2"/>
      </w:pPr>
      <w:r>
        <w:t xml:space="preserve">Technical Architecture Concept</w:t>
      </w:r>
    </w:p>
    <w:p>
      <w:pPr>
        <w:pStyle w:val="Heading3"/>
      </w:pPr>
      <w:r>
        <w:t xml:space="preserve">Layer 1: Data Ingestion</w:t>
      </w:r>
    </w:p>
    <w:p>
      <w:pPr>
        <w:pStyle w:val="ListParagraph"/>
        <w:numPr>
          <w:ilvl w:val="0"/>
          <w:numId w:val="2"/>
        </w:numPr>
      </w:pPr>
      <w:r>
        <w:t xml:space="preserve">APIs for major lab robot platforms (Opentrons, Hamilton, Universal Robots, Tecan)</w:t>
      </w:r>
    </w:p>
    <w:p>
      <w:pPr>
        <w:pStyle w:val="ListParagraph"/>
        <w:numPr>
          <w:ilvl w:val="0"/>
          <w:numId w:val="2"/>
        </w:numPr>
      </w:pPr>
      <w:r>
        <w:t xml:space="preserve">Real-time telemetry capture (positions, forces, velocities, sensor readings)</w:t>
      </w:r>
    </w:p>
    <w:p>
      <w:pPr>
        <w:pStyle w:val="ListParagraph"/>
        <w:numPr>
          <w:ilvl w:val="0"/>
          <w:numId w:val="2"/>
        </w:numPr>
      </w:pPr>
      <w:r>
        <w:t xml:space="preserve">Video streams from lab cameras for vision model training</w:t>
      </w:r>
    </w:p>
    <w:p>
      <w:pPr>
        <w:pStyle w:val="ListParagraph"/>
        <w:numPr>
          <w:ilvl w:val="0"/>
          <w:numId w:val="2"/>
        </w:numPr>
      </w:pPr>
      <w:r>
        <w:t xml:space="preserve">Automatic annotation pipelines for success/failure classification</w:t>
      </w:r>
    </w:p>
    <w:p>
      <w:pPr>
        <w:pStyle w:val="Heading3"/>
      </w:pPr>
      <w:r>
        <w:t xml:space="preserve">Layer 2: AI Training Infrastructure</w:t>
      </w:r>
    </w:p>
    <w:p>
      <w:r>
        <w:t xml:space="preserve">Potential model types to develop:</w:t>
      </w:r>
    </w:p>
    <w:p>
      <w:pPr>
        <w:pStyle w:val="ListParagraph"/>
        <w:numPr>
          <w:ilvl w:val="0"/>
          <w:numId w:val="3"/>
        </w:numPr>
      </w:pPr>
      <w:r>
        <w:t xml:space="preserve">Vision-Language-Action (VLA) models for lab tasks</w:t>
      </w:r>
    </w:p>
    <w:p>
      <w:pPr>
        <w:pStyle w:val="ListParagraph"/>
        <w:numPr>
          <w:ilvl w:val="0"/>
          <w:numId w:val="3"/>
        </w:numPr>
      </w:pPr>
      <w:r>
        <w:t xml:space="preserve">Liquid handling optimization models</w:t>
      </w:r>
    </w:p>
    <w:p>
      <w:pPr>
        <w:pStyle w:val="ListParagraph"/>
        <w:numPr>
          <w:ilvl w:val="0"/>
          <w:numId w:val="3"/>
        </w:numPr>
      </w:pPr>
      <w:r>
        <w:t xml:space="preserve">Sample recognition and tracking (computer vision)</w:t>
      </w:r>
    </w:p>
    <w:p>
      <w:pPr>
        <w:pStyle w:val="ListParagraph"/>
        <w:numPr>
          <w:ilvl w:val="0"/>
          <w:numId w:val="3"/>
        </w:numPr>
      </w:pPr>
      <w:r>
        <w:t xml:space="preserve">Failure prediction and recovery models</w:t>
      </w:r>
    </w:p>
    <w:p>
      <w:pPr>
        <w:pStyle w:val="Heading3"/>
      </w:pPr>
      <w:r>
        <w:t xml:space="preserve">Layer 3: Platform &amp; Marketplace</w:t>
      </w:r>
    </w:p>
    <w:p>
      <w:pPr>
        <w:pStyle w:val="ListParagraph"/>
        <w:numPr>
          <w:ilvl w:val="0"/>
          <w:numId w:val="2"/>
        </w:numPr>
      </w:pPr>
      <w:r>
        <w:t xml:space="preserve">Developer APIs for training data access</w:t>
      </w:r>
    </w:p>
    <w:p>
      <w:pPr>
        <w:pStyle w:val="ListParagraph"/>
        <w:numPr>
          <w:ilvl w:val="0"/>
          <w:numId w:val="2"/>
        </w:numPr>
      </w:pPr>
      <w:r>
        <w:t xml:space="preserve">Pre-built datasets for common lab tasks</w:t>
      </w:r>
    </w:p>
    <w:p>
      <w:pPr>
        <w:pStyle w:val="ListParagraph"/>
        <w:numPr>
          <w:ilvl w:val="0"/>
          <w:numId w:val="2"/>
        </w:numPr>
      </w:pPr>
      <w:r>
        <w:t xml:space="preserve">Model zoo with pre-trained models</w:t>
      </w:r>
    </w:p>
    <w:p>
      <w:pPr>
        <w:pStyle w:val="ListParagraph"/>
        <w:numPr>
          <w:ilvl w:val="0"/>
          <w:numId w:val="2"/>
        </w:numPr>
      </w:pPr>
      <w:r>
        <w:t xml:space="preserve">Data contribution system with credits/revenue sharing</w:t>
      </w:r>
    </w:p>
    <w:p>
      <w:pPr>
        <w:pStyle w:val="Heading1"/>
      </w:pPr>
      <w:r>
        <w:t xml:space="preserve">Business Model Concepts</w:t>
      </w:r>
    </w:p>
    <w:p>
      <w:r>
        <w:rPr>
          <w:i/>
          <w:iCs/>
        </w:rPr>
        <w:t xml:space="preserve">Proposed Revenue Streams (Illustrative — Requires Validation):</w:t>
      </w:r>
    </w:p>
    <w:p>
      <w:pPr>
        <w:spacing w:after="100"/>
      </w:pPr>
    </w:p>
    <w:p>
      <w:pPr>
        <w:pStyle w:val="ListParagraph"/>
        <w:numPr>
          <w:ilvl w:val="0"/>
          <w:numId w:val="4"/>
        </w:numPr>
      </w:pPr>
      <w:r>
        <w:rPr>
          <w:b/>
          <w:bCs/>
        </w:rPr>
        <w:t xml:space="preserve">SaaS Subscriptions</w:t>
      </w:r>
    </w:p>
    <w:p>
      <w:pPr>
        <w:pStyle w:val="ListParagraph"/>
        <w:numPr>
          <w:ilvl w:val="0"/>
          <w:numId w:val="5"/>
        </w:numPr>
      </w:pPr>
      <w:r>
        <w:t xml:space="preserve">Researcher tier: Individual lab/robot access</w:t>
      </w:r>
    </w:p>
    <w:p>
      <w:pPr>
        <w:pStyle w:val="ListParagraph"/>
        <w:numPr>
          <w:ilvl w:val="0"/>
          <w:numId w:val="5"/>
        </w:numPr>
      </w:pPr>
      <w:r>
        <w:t xml:space="preserve">Lab tier: Multi-robot access with model fine-tuning</w:t>
      </w:r>
    </w:p>
    <w:p>
      <w:pPr>
        <w:pStyle w:val="ListParagraph"/>
        <w:numPr>
          <w:ilvl w:val="0"/>
          <w:numId w:val="5"/>
        </w:numPr>
      </w:pPr>
      <w:r>
        <w:t xml:space="preserve">Enterprise tier: Unlimited access with custom development</w:t>
      </w:r>
    </w:p>
    <w:p>
      <w:pPr>
        <w:pStyle w:val="ListParagraph"/>
        <w:numPr>
          <w:ilvl w:val="0"/>
          <w:numId w:val="4"/>
        </w:numPr>
      </w:pPr>
      <w:r>
        <w:rPr>
          <w:b/>
          <w:bCs/>
        </w:rPr>
        <w:t xml:space="preserve">Data Marketplace</w:t>
      </w:r>
    </w:p>
    <w:p>
      <w:pPr>
        <w:pStyle w:val="ListParagraph"/>
        <w:numPr>
          <w:ilvl w:val="0"/>
          <w:numId w:val="5"/>
        </w:numPr>
      </w:pPr>
      <w:r>
        <w:t xml:space="preserve">Labs sell curated datasets; platform takes commission</w:t>
      </w:r>
    </w:p>
    <w:p>
      <w:pPr>
        <w:pStyle w:val="ListParagraph"/>
        <w:numPr>
          <w:ilvl w:val="0"/>
          <w:numId w:val="4"/>
        </w:numPr>
      </w:pPr>
      <w:r>
        <w:rPr>
          <w:b/>
          <w:bCs/>
        </w:rPr>
        <w:t xml:space="preserve">Model Licensing</w:t>
      </w:r>
    </w:p>
    <w:p>
      <w:pPr>
        <w:pStyle w:val="ListParagraph"/>
        <w:numPr>
          <w:ilvl w:val="0"/>
          <w:numId w:val="5"/>
        </w:numPr>
      </w:pPr>
      <w:r>
        <w:t xml:space="preserve">Per-robot or royalty-based licensing to manufacturers</w:t>
      </w:r>
    </w:p>
    <w:p>
      <w:pPr>
        <w:pStyle w:val="ListParagraph"/>
        <w:numPr>
          <w:ilvl w:val="0"/>
          <w:numId w:val="4"/>
        </w:numPr>
      </w:pPr>
      <w:r>
        <w:rPr>
          <w:b/>
          <w:bCs/>
        </w:rPr>
        <w:t xml:space="preserve">Professional Services</w:t>
      </w:r>
    </w:p>
    <w:p>
      <w:pPr>
        <w:pStyle w:val="ListParagraph"/>
        <w:numPr>
          <w:ilvl w:val="0"/>
          <w:numId w:val="5"/>
        </w:numPr>
      </w:pPr>
      <w:r>
        <w:t xml:space="preserve">Custom model development and integration consulting</w:t>
      </w:r>
    </w:p>
    <w:p>
      <w:pPr>
        <w:pStyle w:val="Heading1"/>
      </w:pPr>
      <w:r>
        <w:t xml:space="preserve">Target Customer Segments</w:t>
      </w:r>
    </w:p>
    <w:p>
      <w:pPr>
        <w:pStyle w:val="Heading2"/>
      </w:pPr>
      <w:r>
        <w:t xml:space="preserve">Primary: Lab Automation Companies</w:t>
      </w:r>
    </w:p>
    <w:p>
      <w:r>
        <w:t xml:space="preserve">Companies building robots for specific lab tasks (e.g., Opentrons and competitors)</w:t>
      </w:r>
    </w:p>
    <w:p>
      <w:r>
        <w:rPr>
          <w:i/>
          <w:iCs/>
        </w:rPr>
        <w:t xml:space="preserve">Potential value: </w:t>
      </w:r>
      <w:r>
        <w:t xml:space="preserve">Faster development through access to pre-trained models and diverse training data</w:t>
      </w:r>
    </w:p>
    <w:p>
      <w:pPr>
        <w:pStyle w:val="Heading2"/>
      </w:pPr>
      <w:r>
        <w:t xml:space="preserve">Secondary: Research Labs with Automation</w:t>
      </w:r>
    </w:p>
    <w:p>
      <w:r>
        <w:t xml:space="preserve">Academic labs (universities), pharma R&amp;D, biotech companies</w:t>
      </w:r>
    </w:p>
    <w:p>
      <w:r>
        <w:rPr>
          <w:i/>
          <w:iCs/>
        </w:rPr>
        <w:t xml:space="preserve">Potential value: </w:t>
      </w:r>
      <w:r>
        <w:t xml:space="preserve">Improved robot reliability, ability to monetize experimental data</w:t>
      </w:r>
    </w:p>
    <w:p>
      <w:pPr>
        <w:pStyle w:val="Heading2"/>
      </w:pPr>
      <w:r>
        <w:t xml:space="preserve">Tertiary: Robot Manufacturers</w:t>
      </w:r>
    </w:p>
    <w:p>
      <w:r>
        <w:t xml:space="preserve">General robotics companies (Universal Robots, ABB) and lab equipment vendors (Tecan, Agilent, Hamilton)</w:t>
      </w:r>
    </w:p>
    <w:p>
      <w:r>
        <w:rPr>
          <w:i/>
          <w:iCs/>
        </w:rPr>
        <w:t xml:space="preserve">Potential value: </w:t>
      </w:r>
      <w:r>
        <w:t xml:space="preserve">Pre-trained models to differentiate products and reduce customer onboarding time</w:t>
      </w:r>
    </w:p>
    <w:p>
      <w:pPr>
        <w:pStyle w:val="Heading1"/>
      </w:pPr>
      <w:r>
        <w:t xml:space="preserve">Key Risks and Considerations</w:t>
      </w:r>
    </w:p>
    <w:p>
      <w:pPr>
        <w:pStyle w:val="Heading3"/>
      </w:pPr>
      <w:r>
        <w:t xml:space="preserve">1. Data Privacy Concerns</w:t>
      </w:r>
    </w:p>
    <w:p>
      <w:r>
        <w:t xml:space="preserve">Labs may hesitate to share experimental data due to IP concerns. Mitigation strategies include federated learning, differential privacy, and clear data usage agreements.</w:t>
      </w:r>
    </w:p>
    <w:p>
      <w:pPr>
        <w:pStyle w:val="Heading3"/>
      </w:pPr>
      <w:r>
        <w:t xml:space="preserve">2. Technical Integration Complexity</w:t>
      </w:r>
    </w:p>
    <w:p>
      <w:r>
        <w:t xml:space="preserve">Every robot platform has different APIs, protocols, and data formats. Starting with a small number of popular platforms and building adapter patterns could help.</w:t>
      </w:r>
    </w:p>
    <w:p>
      <w:pPr>
        <w:pStyle w:val="Heading3"/>
      </w:pPr>
      <w:r>
        <w:t xml:space="preserve">3. Cold Start Problem</w:t>
      </w:r>
    </w:p>
    <w:p>
      <w:r>
        <w:t xml:space="preserve">Need data to train models, but need models to attract customers. Potential mitigations include paying early contributors, using simulation for synthetic data, and design partner programs.</w:t>
      </w:r>
    </w:p>
    <w:p>
      <w:pPr>
        <w:pStyle w:val="Heading3"/>
      </w:pPr>
      <w:r>
        <w:t xml:space="preserve">4. Regulatory Requirements (Pharma/FDA)</w:t>
      </w:r>
    </w:p>
    <w:p>
      <w:r>
        <w:t xml:space="preserve">Pharmaceutical customers require validated, auditable AI systems. Building audit trails from day one would be essential.</w:t>
      </w:r>
    </w:p>
    <w:p>
      <w:pPr>
        <w:pStyle w:val="Heading3"/>
      </w:pPr>
      <w:r>
        <w:t xml:space="preserve">5. Competitive Dynamics</w:t>
      </w:r>
    </w:p>
    <w:p>
      <w:r>
        <w:t xml:space="preserve">NVIDIA and a16z have released open-source robotics platforms (Isaac Lab, ARES). While these are general-purpose rather than lab-specific, they demonstrate industry investment in this space.</w:t>
      </w:r>
    </w:p>
    <w:p>
      <w:pPr>
        <w:pStyle w:val="Heading1"/>
      </w:pPr>
      <w:r>
        <w:t xml:space="preserve">Claims Requiring Further Research</w:t>
      </w:r>
    </w:p>
    <w:p>
      <w:r>
        <w:t xml:space="preserve">The following claims from the original document could not be verified and require additional research:</w:t>
      </w:r>
    </w:p>
    <w:p>
      <w:pPr>
        <w:pStyle w:val="ListParagraph"/>
        <w:numPr>
          <w:ilvl w:val="0"/>
          <w:numId w:val="2"/>
        </w:numPr>
      </w:pPr>
      <w:r>
        <w:t xml:space="preserve">Specific robot failure rates in laboratory settings ("20-30%")</w:t>
      </w:r>
    </w:p>
    <w:p>
      <w:pPr>
        <w:pStyle w:val="ListParagraph"/>
        <w:numPr>
          <w:ilvl w:val="0"/>
          <w:numId w:val="2"/>
        </w:numPr>
      </w:pPr>
      <w:r>
        <w:t xml:space="preserve">Exact development time reductions from training data platforms</w:t>
      </w:r>
    </w:p>
    <w:p>
      <w:pPr>
        <w:pStyle w:val="ListParagraph"/>
        <w:numPr>
          <w:ilvl w:val="0"/>
          <w:numId w:val="2"/>
        </w:numPr>
      </w:pPr>
      <w:r>
        <w:t xml:space="preserve">Specific pricing assumptions for SaaS tiers</w:t>
      </w:r>
    </w:p>
    <w:p>
      <w:pPr>
        <w:pStyle w:val="ListParagraph"/>
        <w:numPr>
          <w:ilvl w:val="0"/>
          <w:numId w:val="2"/>
        </w:numPr>
      </w:pPr>
      <w:r>
        <w:t xml:space="preserve">Revenue projections and unit economics</w:t>
      </w:r>
    </w:p>
    <w:p>
      <w:pPr>
        <w:pStyle w:val="ListParagraph"/>
        <w:numPr>
          <w:ilvl w:val="0"/>
          <w:numId w:val="2"/>
        </w:numPr>
      </w:pPr>
      <w:r>
        <w:t xml:space="preserve">Customer acquisition cost estimates</w:t>
      </w:r>
    </w:p>
    <w:p>
      <w:pPr>
        <w:pStyle w:val="ListParagraph"/>
        <w:numPr>
          <w:ilvl w:val="0"/>
          <w:numId w:val="2"/>
        </w:numPr>
      </w:pPr>
      <w:r>
        <w:t xml:space="preserve">Number of task demonstrations needed for effective training</w:t>
      </w:r>
    </w:p>
    <w:p>
      <w:pPr>
        <w:pStyle w:val="Heading1"/>
      </w:pPr>
      <w:r>
        <w:t xml:space="preserve">Sources Summary</w:t>
      </w:r>
    </w:p>
    <w:p>
      <w:pPr>
        <w:pStyle w:val="Heading3"/>
      </w:pPr>
      <w:r>
        <w:t xml:space="preserve">Market Research Reports</w:t>
      </w:r>
    </w:p>
    <w:p>
      <w:pPr>
        <w:pStyle w:val="ListParagraph"/>
        <w:numPr>
          <w:ilvl w:val="0"/>
          <w:numId w:val="2"/>
        </w:numPr>
      </w:pPr>
      <w:r>
        <w:t xml:space="preserve">Grand View Research — Lab Automation Market (2024)</w:t>
      </w:r>
    </w:p>
    <w:p>
      <w:pPr>
        <w:pStyle w:val="ListParagraph"/>
        <w:numPr>
          <w:ilvl w:val="0"/>
          <w:numId w:val="2"/>
        </w:numPr>
      </w:pPr>
      <w:r>
        <w:t xml:space="preserve">Precedence Research — Lab Automation Market (May 2025)</w:t>
      </w:r>
    </w:p>
    <w:p>
      <w:pPr>
        <w:pStyle w:val="ListParagraph"/>
        <w:numPr>
          <w:ilvl w:val="0"/>
          <w:numId w:val="2"/>
        </w:numPr>
      </w:pPr>
      <w:r>
        <w:t xml:space="preserve">Lucintel — Lab Automation Market (2024)</w:t>
      </w:r>
    </w:p>
    <w:p>
      <w:pPr>
        <w:pStyle w:val="ListParagraph"/>
        <w:numPr>
          <w:ilvl w:val="0"/>
          <w:numId w:val="2"/>
        </w:numPr>
      </w:pPr>
      <w:r>
        <w:t xml:space="preserve">Mordor Intelligence — Total Lab Automation Market (July 2025)</w:t>
      </w:r>
    </w:p>
    <w:p>
      <w:pPr>
        <w:pStyle w:val="Heading3"/>
      </w:pPr>
      <w:r>
        <w:t xml:space="preserve">Academic Publications</w:t>
      </w:r>
    </w:p>
    <w:p>
      <w:pPr>
        <w:pStyle w:val="ListParagraph"/>
        <w:numPr>
          <w:ilvl w:val="0"/>
          <w:numId w:val="2"/>
        </w:numPr>
      </w:pPr>
      <w:r>
        <w:t xml:space="preserve">Szymanski et al. "An autonomous laboratory for the accelerated synthesis of novel materials." Nature 624, 86-91 (2023)</w:t>
      </w:r>
    </w:p>
    <w:p>
      <w:pPr>
        <w:pStyle w:val="ListParagraph"/>
        <w:numPr>
          <w:ilvl w:val="0"/>
          <w:numId w:val="2"/>
        </w:numPr>
      </w:pPr>
      <w:r>
        <w:t xml:space="preserve">Rapp et al. "Self-driving laboratories to autonomously navigate the protein fitness landscape." Nature Chemical Engineering 1, 97-107 (2024)</w:t>
      </w:r>
    </w:p>
    <w:p>
      <w:pPr>
        <w:pStyle w:val="ListParagraph"/>
        <w:numPr>
          <w:ilvl w:val="0"/>
          <w:numId w:val="2"/>
        </w:numPr>
      </w:pPr>
      <w:r>
        <w:t xml:space="preserve">Dai et al. "Autonomous mobile robots for exploratory synthetic chemistry." Nature 635, 890-897 (2024)</w:t>
      </w:r>
    </w:p>
    <w:p>
      <w:pPr>
        <w:pStyle w:val="ListParagraph"/>
        <w:numPr>
          <w:ilvl w:val="0"/>
          <w:numId w:val="2"/>
        </w:numPr>
      </w:pPr>
      <w:r>
        <w:t xml:space="preserve">PNAS 121(17) e2406320121 — "The automated lab of tomorrow" (2024)</w:t>
      </w:r>
    </w:p>
    <w:p>
      <w:pPr>
        <w:pStyle w:val="Heading3"/>
      </w:pPr>
      <w:r>
        <w:t xml:space="preserve">Industry Sources</w:t>
      </w:r>
    </w:p>
    <w:p>
      <w:pPr>
        <w:pStyle w:val="ListParagraph"/>
        <w:numPr>
          <w:ilvl w:val="0"/>
          <w:numId w:val="2"/>
        </w:numPr>
      </w:pPr>
      <w:r>
        <w:t xml:space="preserve">NVIDIA Developer documentation — Isaac platform (2024-2025)</w:t>
      </w:r>
    </w:p>
    <w:p>
      <w:pPr>
        <w:pStyle w:val="ListParagraph"/>
        <w:numPr>
          <w:ilvl w:val="0"/>
          <w:numId w:val="2"/>
        </w:numPr>
      </w:pPr>
      <w:r>
        <w:t xml:space="preserve">a16z blog — "ARES: An Open Source Platform for Robot Data" (April 2025)</w:t>
      </w:r>
    </w:p>
    <w:p>
      <w:pPr>
        <w:pStyle w:val="ListParagraph"/>
        <w:numPr>
          <w:ilvl w:val="0"/>
          <w:numId w:val="2"/>
        </w:numPr>
      </w:pPr>
      <w:r>
        <w:t xml:space="preserve">TechCrunch — Hugging Face funding (August 2023)</w:t>
      </w:r>
    </w:p>
    <w:p>
      <w:pPr>
        <w:pStyle w:val="ListParagraph"/>
        <w:numPr>
          <w:ilvl w:val="0"/>
          <w:numId w:val="2"/>
        </w:numPr>
      </w:pPr>
      <w:r>
        <w:t xml:space="preserve">Fierce Biotech — Opentrons funding (September 2021)</w:t>
      </w:r>
    </w:p>
    <w:p>
      <w:pPr>
        <w:pStyle w:val="ListParagraph"/>
        <w:numPr>
          <w:ilvl w:val="0"/>
          <w:numId w:val="2"/>
        </w:numPr>
      </w:pPr>
      <w:r>
        <w:t xml:space="preserve">The Robot Report — Robot reliability data (January 2024)</w:t>
      </w:r>
    </w:p>
    <w:p>
      <w:pPr>
        <w:pStyle w:val="ListParagraph"/>
        <w:numPr>
          <w:ilvl w:val="0"/>
          <w:numId w:val="2"/>
        </w:numPr>
      </w:pPr>
      <w:r>
        <w:t xml:space="preserve">YC company profiles — Scispot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Lab Robotics Training Data Platform — Business Plan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 w:type="paragraph" w:styleId="Source">
    <w:name w:val="Source"/>
    <w:basedOn w:val="Normal"/>
    <w:pPr>
      <w:spacing w:before="60" w:after="120"/>
    </w:pPr>
    <w:rPr>
      <w:rFonts w:ascii="Arial" w:cs="Arial" w:eastAsia="Arial" w:hAnsi="Arial"/>
      <w:i/>
      <w:iCs/>
      <w:color w:val="71809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2025-12-20T21:08:20.167Z</dcterms:created>
  <dcterms:modified xsi:type="dcterms:W3CDTF">2025-12-20T21:08:20.168Z</dcterms:modified>
</cp:coreProperties>
</file>

<file path=docProps/custom.xml><?xml version="1.0" encoding="utf-8"?>
<Properties xmlns="http://schemas.openxmlformats.org/officeDocument/2006/custom-properties" xmlns:vt="http://schemas.openxmlformats.org/officeDocument/2006/docPropsVTypes"/>
</file>