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Introducción a la Nutrición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  <w:tblGridChange w:id="0">
          <w:tblGrid>
            <w:gridCol w:w="1588"/>
            <w:gridCol w:w="1125"/>
            <w:gridCol w:w="406"/>
            <w:gridCol w:w="426"/>
            <w:gridCol w:w="425"/>
            <w:gridCol w:w="709"/>
            <w:gridCol w:w="425"/>
            <w:gridCol w:w="1134"/>
            <w:gridCol w:w="425"/>
            <w:gridCol w:w="466"/>
            <w:gridCol w:w="1090"/>
            <w:gridCol w:w="429"/>
            <w:gridCol w:w="986"/>
            <w:gridCol w:w="289"/>
            <w:gridCol w:w="426"/>
            <w:gridCol w:w="8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Nutrición y Dietética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 de Asignatura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NDI1106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Nivel/ Semestre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101/Primer Semestre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Créditos SCT-Chile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Docencia directa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Trabajo Autónomo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16"/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Ejes 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Especialidad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after="16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11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Práctica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Optativa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after="160" w:line="259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Electivo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after="160" w:line="259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6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 breve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Asignatura que tiene como propósito contribuir a la orientación profesional del alumno respecto al plan de estudio de su carrera, perfil del Nutricionista, campo de acción y su rol dentro del equipo de profesionales de la salud. Esta asignatura además permitirá al alumno un acercamiento a las nociones básicas de Antropología, de forma de contribuir a generar una visión de la salud del hombre relacionada con sus medios de alimentación desde el pasado remoto hasta el día de hoy. Finalmente los alumnos serán capaces de reconocer y utilizar las diversas herramientas de tecnologías y comunicación necesarias y relacionarlas con enfoque de Salud Pública.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Pre-requisitos / Aprendizajes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/Deseable manejo de office nivel usuario. 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Aporte al perfil de egreso</w:t>
      </w: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Los conocimientos que brinda esta asignatura son necesarias para que el estudiante sea capaz de identificar y aplicar los lineamientos básicos de la nutrición humana saludable, además de dar a conocer, el quehacer en los distintos campos laborales de la profesión, y el manejo de la TICs en Salud, lo que le permite: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-108" w:firstLine="0"/>
              <w:jc w:val="both"/>
              <w:rPr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Competencias Genéricas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after="0" w:line="240" w:lineRule="auto"/>
              <w:ind w:left="133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Compromiso Ético.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spacing w:after="0" w:line="240" w:lineRule="auto"/>
              <w:ind w:left="133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Lidera  y Toma decisiones.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0" w:line="240" w:lineRule="auto"/>
              <w:ind w:left="133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Conoce sobre el área de estudio de la profesión.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-108" w:firstLine="0"/>
              <w:jc w:val="both"/>
              <w:rPr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Competencias Disciplinarias: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cuanto a lo que se refiere a las competencias propias de la disciplina la asignatura ayuda a desarrollar las competencias en: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7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Área Investigación.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3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Trabaja en equipo con capacidad creativa para identificar, plantear y resolver problemas relacionados a las ciencias básicas y de la Nutrición.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3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Utiliza y aplica el método científico éticamente como herramienta  fundamental en la resolución de los problemas inherentes a su quehacer profesional.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60" w:lineRule="auto"/>
              <w:ind w:left="708" w:firstLine="0"/>
              <w:rPr>
                <w:i w:val="0"/>
                <w:color w:val="ff000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Área Salud Pública Trabajo Comunitario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5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Aplica  el  proceso  educativo  como  una  estrategia  para  elevar  el  nivel  de salud  de  la  población  en  la  promoción  de  estilos  de  vida  saludable, prevención  del  daño,  recuperación  y  rehabilitación  de  la  salud  en  los distintos niveles y contextos de atención Nutricional.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5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Promueve  y  realiza  acciones  tendientes  a  estimular  la  participación activa de la población  y desarrollo comunitario en el área de la salud, alimentación y nutrición.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Competencias que desarrolla la asignatura</w:t>
      </w: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283"/>
        <w:gridCol w:w="5103"/>
        <w:tblGridChange w:id="0">
          <w:tblGrid>
            <w:gridCol w:w="3828"/>
            <w:gridCol w:w="283"/>
            <w:gridCol w:w="5103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Reconocer las directrices  de la carrera de Nutrición y Dietética de la Universidad de Atacama y los lineamientos de la carrera a nivel nacional.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Reconocer el perfil profesional del Nutricionista.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Identificar los distintos campos de acción del Nutricionista.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Reconocer el concepto de liderazgo en el ámbito del actuar del profesional.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Conocer los principios básicos de la nutrición humana y la evolución de ésta.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Identificar los grupos de alimentos y su valor nutricional.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Identificar  las guías alimentarias chilenas.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spacing w:after="0" w:line="240" w:lineRule="auto"/>
              <w:ind w:left="612" w:hanging="360"/>
              <w:jc w:val="both"/>
              <w:rPr>
                <w:color w:val="21586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Utilizar las diversas herramientas de tecnologías y comunicación, mediante método científico</w:t>
            </w:r>
            <w:r w:rsidDel="00000000" w:rsidR="00000000" w:rsidRPr="00000000">
              <w:rPr>
                <w:color w:val="21586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Unidades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Resultados de aprendizaje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-108" w:firstLine="0"/>
              <w:jc w:val="both"/>
              <w:rPr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UNIDAD 1. INTRODUCCIÓN A LA EDUCAIÓN SUPERIOR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Uso de programa Office nivel usuario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5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Uso de programa Drive de Google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5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Uso de Moodle universitario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Búsqueda bibliográfica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Diseño de informes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612" w:firstLine="0"/>
              <w:jc w:val="both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7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Identificar los programas virtuales que servirán en el trabajo universitario.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7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Utilización programas de word, excel y power point.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Trabajar de manera colaborativa a través de programa Drive.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7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Utilizar programa Moodle para el trabajo autónomo.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7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Emplear buscadores especializados para la elaboración de bibliografía de peso.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7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Elaborar informes escritos cumpliendo los pasos del método científico.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-108" w:firstLine="0"/>
              <w:jc w:val="both"/>
              <w:rPr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UNIDAD 2. INTRODUCCIÓN A LA ASIGNATURA.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6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Aspectos Generales Administrativos de la Universidad de Atacama. Reglamento de la Carrera de Nutrición.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6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 de estudio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6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Perfil del egresado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6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Historia de la carrera de Nutrición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8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Lineamientos del Colegio de Nutricionistas de Chile.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8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Relación del nutricionistas con otras disciplinas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8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Ámbitos de desempeño laboral del Nutricionista.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Reglamentos y Normativa que existen en la Universidad.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9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Comprende prerrequisitos y el proceso de avance académico a través de la Malla de la carrera.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9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las directrices del Perfil de Egreso como  futuros profesionales de la carrera.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la Ética profesional establecida en las bases y normativa del gremio de los Nutricionistas.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9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Comprende la importancia del respeto y trabajo en conjunto con otros profesionales, pares y académicos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9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i w:val="0"/>
                <w:color w:val="ff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las actividades que se realizan en cada campo  laboral de la profesión.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-108" w:firstLine="0"/>
              <w:jc w:val="both"/>
              <w:rPr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UNIDAD 3. CONCEPTOS, FUNDAMENTOS Y BASES DE LA ALIMENTACIÓN Y NUTRICIÓN.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1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Antropología cultura y nutrición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1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Evolución de la nutrición en Chile.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1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Tendencias globales de alimentación.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1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Evaluación del estado nutricional en adultos y adulto mayor según IMC, valores de IMC.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-108" w:firstLine="0"/>
              <w:jc w:val="both"/>
              <w:rPr>
                <w:i w:val="0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0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y evalúa las complejas historias de las culturas humanas en procesos de producción de alimentos y el impacto de éstos en la Salud y alimentación.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0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evolución de la alimentación en Chile, a través de sus orígenes desde el período prehispánico hasta el día de hoy.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Realiza análisis crítico de hábitos alimenticios en el presente: comida chatarra, tribus urbanas y postmodernismo.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herramientas y procedimientos en la Evaluación del Estado nutricional, como anamnesis y encuestas de alimentación.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0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i w:val="0"/>
                <w:color w:val="ff00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Reconoce, aplica y utiliza el IMC en adultos y adulto mayor.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-108" w:firstLine="0"/>
              <w:jc w:val="both"/>
              <w:rPr>
                <w:i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UNIDAD 4. PIRÁMIDE ALIMENTARIA Y GUÍAS ALIMENTARIAS.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Pirámides alimentarias según países.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Pirámide alimentaria chilena.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Situación epidemiológica y nutricional de la población chilena.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Guías alimentarias de la población chilena.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Etiquetado nutricional  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Reconoce Pirámides alimentarias de países desarrollados y en vías de desarrollo y su efecto en la población.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Comprende la planificación alimentaria para la población chilena.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Comprende la relación de porciones de intercambio.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Aplica procesos de cálculo calórico nutritivo según pirámide calculadora.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Comprende las pautas del Etiquetado Nutricional en nuestro país.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2"/>
              </w:numPr>
              <w:spacing w:after="0" w:line="240" w:lineRule="auto"/>
              <w:ind w:left="612" w:hanging="360"/>
              <w:jc w:val="both"/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Comprende la lectura y análisis del Etiquetado Nutricional.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Estrategias de enseñanza y aprendizaje</w:t>
      </w: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ind w:left="-108" w:firstLine="0"/>
              <w:jc w:val="both"/>
              <w:rPr>
                <w:color w:val="21586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Mediante clases expositivas, entrevistas y seminarios con profesionales de la Nutrición, Talleres y mesas redondas para entablar la discusión de ciertos temas. 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También utilizando recurso audiovisual, mediante plataformas interactivas, como Moodle, donde existe la opción de realizar Foros de discusión y opinión.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Utilización de los Laboratorios de computación para aplicar las técnicas aprendidas.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Procedimientos de Evaluación de aprendizajes</w:t>
      </w:r>
      <w:r w:rsidDel="00000000" w:rsidR="00000000" w:rsidRPr="00000000">
        <w:rPr>
          <w:rtl w:val="0"/>
        </w:rPr>
      </w:r>
    </w:p>
    <w:tbl>
      <w:tblPr>
        <w:tblStyle w:val="Table5"/>
        <w:tblW w:w="921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Durante el semestre: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4"/>
              </w:numPr>
              <w:spacing w:after="0" w:line="240" w:lineRule="auto"/>
              <w:ind w:left="108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Evaluación Diagnóstica: evidenciar el conocimiento actual en cuanto a la asignatura, para luego nivelar.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4"/>
              </w:numPr>
              <w:spacing w:after="0" w:line="240" w:lineRule="auto"/>
              <w:ind w:left="108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Evaluación Sumativa: en total serán 4, una por cada unidad.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4"/>
              </w:numPr>
              <w:spacing w:after="0" w:line="240" w:lineRule="auto"/>
              <w:ind w:left="1080" w:hanging="360"/>
              <w:jc w:val="both"/>
              <w:rPr>
                <w:rFonts w:ascii="Calibri" w:cs="Calibri" w:eastAsia="Calibri" w:hAnsi="Calibri"/>
                <w:color w:val="8496b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Evaluación Formativa: mediante quiz, talleres, y foros en clases se podrá evaluar el avance del Alumno</w:t>
            </w:r>
            <w:r w:rsidDel="00000000" w:rsidR="00000000" w:rsidRPr="00000000">
              <w:rPr>
                <w:color w:val="8496b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ind w:left="-108" w:firstLine="0"/>
              <w:jc w:val="both"/>
              <w:rPr>
                <w:i w:val="0"/>
                <w:color w:val="8496b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Recursos de aprendizaje</w:t>
      </w:r>
      <w:r w:rsidDel="00000000" w:rsidR="00000000" w:rsidRPr="00000000">
        <w:rPr>
          <w:rtl w:val="0"/>
        </w:rPr>
      </w:r>
    </w:p>
    <w:tbl>
      <w:tblPr>
        <w:tblStyle w:val="Table6"/>
        <w:tblW w:w="921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Bibliográficos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Código de Ética. Colegio de Nutricionistas.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ind w:left="-108" w:firstLine="0"/>
              <w:jc w:val="both"/>
              <w:rPr>
                <w:i w:val="0"/>
                <w:color w:val="21586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ind w:left="-108" w:firstLine="0"/>
              <w:jc w:val="both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Moodle, Universidad de Atacama.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hyperlink r:id="rId7">
              <w:r w:rsidDel="00000000" w:rsidR="00000000" w:rsidRPr="00000000">
                <w:rPr>
                  <w:color w:val="000000"/>
                  <w:u w:val="none"/>
                  <w:vertAlign w:val="baseline"/>
                  <w:rtl w:val="0"/>
                </w:rPr>
                <w:t xml:space="preserve">www.minsal.cl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hyperlink r:id="rId8">
              <w:r w:rsidDel="00000000" w:rsidR="00000000" w:rsidRPr="00000000">
                <w:rPr>
                  <w:color w:val="000000"/>
                  <w:u w:val="none"/>
                  <w:vertAlign w:val="baseline"/>
                  <w:rtl w:val="0"/>
                </w:rPr>
                <w:t xml:space="preserve">www.nutricionistasdechile.com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hyperlink r:id="rId9">
              <w:r w:rsidDel="00000000" w:rsidR="00000000" w:rsidRPr="00000000">
                <w:rPr>
                  <w:color w:val="000000"/>
                  <w:u w:val="none"/>
                  <w:vertAlign w:val="baseline"/>
                  <w:rtl w:val="0"/>
                </w:rPr>
                <w:t xml:space="preserve">www.sochinut.cl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hyperlink r:id="rId10">
              <w:r w:rsidDel="00000000" w:rsidR="00000000" w:rsidRPr="00000000">
                <w:rPr>
                  <w:color w:val="000000"/>
                  <w:u w:val="none"/>
                  <w:vertAlign w:val="baseline"/>
                  <w:rtl w:val="0"/>
                </w:rPr>
                <w:t xml:space="preserve">www.inta.cl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hyperlink r:id="rId11">
              <w:r w:rsidDel="00000000" w:rsidR="00000000" w:rsidRPr="00000000">
                <w:rPr>
                  <w:color w:val="000000"/>
                  <w:u w:val="none"/>
                  <w:vertAlign w:val="baseline"/>
                  <w:rtl w:val="0"/>
                </w:rPr>
                <w:t xml:space="preserve">www.who.int/es/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hyperlink r:id="rId12">
              <w:r w:rsidDel="00000000" w:rsidR="00000000" w:rsidRPr="00000000">
                <w:rPr>
                  <w:color w:val="000000"/>
                  <w:u w:val="none"/>
                  <w:vertAlign w:val="baseline"/>
                  <w:rtl w:val="0"/>
                </w:rPr>
                <w:t xml:space="preserve">www.paho.org/chi/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hyperlink r:id="rId13">
              <w:r w:rsidDel="00000000" w:rsidR="00000000" w:rsidRPr="00000000">
                <w:rPr>
                  <w:color w:val="000000"/>
                  <w:u w:val="none"/>
                  <w:vertAlign w:val="baseline"/>
                  <w:rtl w:val="0"/>
                </w:rPr>
                <w:t xml:space="preserve">www.scielo.cl/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ind w:left="-108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17" w:top="1417" w:left="1701" w:right="1701" w:header="56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spacing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-125728</wp:posOffset>
          </wp:positionH>
          <wp:positionV relativeFrom="topMargin">
            <wp:posOffset>-1021713</wp:posOffset>
          </wp:positionV>
          <wp:extent cx="665480" cy="56642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5480" cy="5664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4969510</wp:posOffset>
          </wp:positionH>
          <wp:positionV relativeFrom="paragraph">
            <wp:posOffset>224790</wp:posOffset>
          </wp:positionV>
          <wp:extent cx="659765" cy="66167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9765" cy="661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5">
    <w:pPr>
      <w:spacing w:after="0" w:line="240" w:lineRule="auto"/>
      <w:jc w:val="center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vertAlign w:val="baseline"/>
        <w:rtl w:val="0"/>
      </w:rPr>
      <w:t xml:space="preserve">U N I V E R S I D A D   DE   A T A C A M 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spacing w:after="0" w:line="240" w:lineRule="auto"/>
      <w:jc w:val="center"/>
      <w:rPr>
        <w:rFonts w:ascii="Times New Roman" w:cs="Times New Roman" w:eastAsia="Times New Roman" w:hAnsi="Times New Roman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vertAlign w:val="baseline"/>
        <w:rtl w:val="0"/>
      </w:rPr>
      <w:t xml:space="preserve">VICERRECTORÍA ACADÉMICA</w:t>
    </w:r>
  </w:p>
  <w:p w:rsidR="00000000" w:rsidDel="00000000" w:rsidP="00000000" w:rsidRDefault="00000000" w:rsidRPr="00000000" w14:paraId="00000147">
    <w:pPr>
      <w:spacing w:after="0" w:line="240" w:lineRule="auto"/>
      <w:jc w:val="center"/>
      <w:rPr>
        <w:rFonts w:ascii="Times New Roman" w:cs="Times New Roman" w:eastAsia="Times New Roman" w:hAnsi="Times New Roman"/>
        <w:sz w:val="16"/>
        <w:szCs w:val="16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vertAlign w:val="baseline"/>
        <w:rtl w:val="0"/>
      </w:rPr>
      <w:t xml:space="preserve">FACULTAD DE CIENCIAS DE LA SALUD</w:t>
    </w:r>
  </w:p>
  <w:p w:rsidR="00000000" w:rsidDel="00000000" w:rsidP="00000000" w:rsidRDefault="00000000" w:rsidRPr="00000000" w14:paraId="00000148">
    <w:pPr>
      <w:spacing w:after="0" w:line="240" w:lineRule="auto"/>
      <w:jc w:val="center"/>
      <w:rPr>
        <w:rFonts w:ascii="Times New Roman" w:cs="Times New Roman" w:eastAsia="Times New Roman" w:hAnsi="Times New Roman"/>
        <w:sz w:val="16"/>
        <w:szCs w:val="16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vertAlign w:val="baseline"/>
        <w:rtl w:val="0"/>
      </w:rPr>
      <w:t xml:space="preserve">DEPARTAMENTO DE NUTRICIÓN</w:t>
    </w:r>
  </w:p>
  <w:p w:rsidR="00000000" w:rsidDel="00000000" w:rsidP="00000000" w:rsidRDefault="00000000" w:rsidRPr="00000000" w14:paraId="00000149">
    <w:pPr>
      <w:spacing w:after="0" w:line="240" w:lineRule="auto"/>
      <w:rPr>
        <w:rFonts w:ascii="Times New Roman" w:cs="Times New Roman" w:eastAsia="Times New Roman" w:hAnsi="Times New Roman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12" w:hanging="360"/>
      </w:pPr>
      <w:rPr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32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5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9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1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5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7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9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332" w:hanging="360.0000000000001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table" w:styleId="GridTableLight">
    <w:name w:val="Grid Table Light"/>
    <w:basedOn w:val="Tablanormal"/>
    <w:next w:val="GridTableLigh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Light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ho.int/es/" TargetMode="External"/><Relationship Id="rId10" Type="http://schemas.openxmlformats.org/officeDocument/2006/relationships/hyperlink" Target="http://www.inta.cl" TargetMode="External"/><Relationship Id="rId13" Type="http://schemas.openxmlformats.org/officeDocument/2006/relationships/hyperlink" Target="http://www.scielo.cl/" TargetMode="External"/><Relationship Id="rId12" Type="http://schemas.openxmlformats.org/officeDocument/2006/relationships/hyperlink" Target="http://www.paho.org/ch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ochinut.cl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insal.cl" TargetMode="External"/><Relationship Id="rId8" Type="http://schemas.openxmlformats.org/officeDocument/2006/relationships/hyperlink" Target="http://www.nutricionistasdechi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mQXxqH3ncSM9ZIaHkTYOFLxjsQ==">AMUW2mVMLyA/3P1ZESNjW92D44BjZ3nh3b88u1SgDeaDtPzaYubl8BT+zqciBsSm6SqYAkOo7NVFHgIbn+dThUUaUYtVosFPhBhHX88cG2OIDhhcR+WxhG8UX0JMrK3zqSYjxv2CBZZq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2016-12-19T19:37:00Z</dcterms:created>
  <dc:creator>AdministradorCMD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