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34" w:rsidRPr="00BE5505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E5505">
        <w:rPr>
          <w:rFonts w:ascii="Times New Roman" w:hAnsi="Times New Roman" w:cs="Times New Roman"/>
          <w:b/>
          <w:sz w:val="24"/>
          <w:szCs w:val="24"/>
        </w:rPr>
        <w:t>ROGRAMA DE ASIGNATURA</w:t>
      </w:r>
    </w:p>
    <w:p w:rsidR="00592534" w:rsidRPr="00BE5505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Pr="00BE5505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5505">
        <w:rPr>
          <w:rFonts w:ascii="Times New Roman" w:hAnsi="Times New Roman" w:cs="Times New Roman"/>
          <w:b/>
          <w:sz w:val="24"/>
          <w:szCs w:val="24"/>
        </w:rPr>
        <w:t>CLÍNICA DE PROCESO DE ENFERMERÍA</w:t>
      </w:r>
    </w:p>
    <w:p w:rsidR="00592534" w:rsidRPr="00BE5505" w:rsidRDefault="00592534" w:rsidP="005925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592534" w:rsidRPr="00BE5505" w:rsidTr="005357EA">
        <w:trPr>
          <w:gridAfter w:val="1"/>
          <w:wAfter w:w="8" w:type="dxa"/>
          <w:trHeight w:val="269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592534" w:rsidRPr="00BE5505" w:rsidTr="005357EA">
        <w:trPr>
          <w:gridAfter w:val="1"/>
          <w:wAfter w:w="8" w:type="dxa"/>
          <w:trHeight w:val="286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CPE</w:t>
            </w:r>
            <w:r w:rsidR="008A4F99">
              <w:rPr>
                <w:rFonts w:ascii="Times New Roman" w:hAnsi="Times New Roman" w:cs="Times New Roman"/>
                <w:sz w:val="24"/>
                <w:szCs w:val="24"/>
              </w:rPr>
              <w:t>1301</w:t>
            </w:r>
          </w:p>
        </w:tc>
      </w:tr>
      <w:tr w:rsidR="00592534" w:rsidRPr="00BE5505" w:rsidTr="005357EA">
        <w:trPr>
          <w:gridAfter w:val="1"/>
          <w:wAfter w:w="8" w:type="dxa"/>
          <w:trHeight w:val="269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592534" w:rsidRPr="00BE5505" w:rsidTr="005357EA">
        <w:trPr>
          <w:gridAfter w:val="1"/>
          <w:wAfter w:w="8" w:type="dxa"/>
          <w:trHeight w:val="632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592534" w:rsidRPr="00BE5505" w:rsidRDefault="00BA2910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592534" w:rsidRPr="00BE5505" w:rsidRDefault="00BA2910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  <w:gridSpan w:val="4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92534" w:rsidRPr="00BE5505" w:rsidTr="005357EA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534" w:rsidRPr="00BE5505" w:rsidTr="005357EA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534" w:rsidRPr="00BE5505" w:rsidRDefault="00592534" w:rsidP="005357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534" w:rsidRPr="00BE5505" w:rsidTr="005357EA">
        <w:trPr>
          <w:gridAfter w:val="1"/>
          <w:wAfter w:w="8" w:type="dxa"/>
          <w:trHeight w:val="827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45743A" w:rsidRDefault="0045743A" w:rsidP="00457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Asignatura práctica,</w:t>
            </w:r>
            <w:r w:rsidR="005357EA">
              <w:rPr>
                <w:rFonts w:ascii="Times New Roman" w:hAnsi="Times New Roman" w:cs="Times New Roman"/>
                <w:sz w:val="24"/>
                <w:szCs w:val="24"/>
              </w:rPr>
              <w:t xml:space="preserve"> correspondiente a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l área  clínico asistencial, en la que el estudiante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no solo aplica el conocimiento adquirido en el avance de la malla curricular sino que debe 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las habilidades blandas que tienen relación con las habilidades comunicativas y de relacionamiento, la capacidad de trabajar en equipo, la responsabilidad, la honestidad, el compromiso y las actitudes proactivas a la hora de resolver problemas. Desarrollará habilidades técnicas que le permitan realizar procedimientos clínicos básicos que favorezcan la recuperación del usuario, se expresarán con terminología clínica y se desenvolverán  respetando por sobre todo las normas organizacionales.</w:t>
            </w:r>
          </w:p>
          <w:p w:rsidR="0045743A" w:rsidRDefault="0045743A" w:rsidP="004574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relación al área de Gestión el alumno comienza a familiarizarse con la atención multidisciplinaria, el trabajo en Red que involucra la coordinación con otros Servicios, el uso de documentación administrativa y protocolos de trabajo existentes en el Servicio en el cual desarrollen la práctica clínica.  </w:t>
            </w:r>
          </w:p>
          <w:p w:rsidR="00592534" w:rsidRPr="00BE5505" w:rsidRDefault="00592534" w:rsidP="005357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534" w:rsidRPr="00BE5505" w:rsidTr="005357EA">
        <w:trPr>
          <w:gridAfter w:val="1"/>
          <w:wAfter w:w="8" w:type="dxa"/>
          <w:trHeight w:val="286"/>
        </w:trPr>
        <w:tc>
          <w:tcPr>
            <w:tcW w:w="1588" w:type="dxa"/>
          </w:tcPr>
          <w:p w:rsidR="00592534" w:rsidRPr="00BE5505" w:rsidRDefault="00592534" w:rsidP="005357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592534" w:rsidRPr="00BE5505" w:rsidRDefault="00592534" w:rsidP="0059253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Promoción y educación para la salud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2534" w:rsidRPr="00BE5505" w:rsidRDefault="00592534" w:rsidP="0059253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>Proceso de Atención de Enfermería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E5505" w:rsidRDefault="00592534" w:rsidP="005357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534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1F1" w:rsidRDefault="000F51F1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1F1" w:rsidRDefault="000F51F1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1F1" w:rsidRDefault="000F51F1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505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49"/>
      </w:tblGrid>
      <w:tr w:rsidR="00592534" w:rsidRPr="00BE5505" w:rsidTr="007E24C1">
        <w:tc>
          <w:tcPr>
            <w:tcW w:w="10349" w:type="dxa"/>
          </w:tcPr>
          <w:p w:rsidR="004F2755" w:rsidRDefault="004F2755" w:rsidP="004F275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 w:rsidR="007E24C1">
              <w:rPr>
                <w:rFonts w:ascii="Times New Roman" w:hAnsi="Times New Roman" w:cs="Times New Roman"/>
                <w:sz w:val="24"/>
                <w:szCs w:val="24"/>
              </w:rPr>
              <w:t xml:space="preserve"> y Gestión y Liderazgo.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4F2755" w:rsidRDefault="004F2755" w:rsidP="004F275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755" w:rsidRPr="00534612" w:rsidRDefault="004F2755" w:rsidP="004F2755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2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4F2755" w:rsidRPr="00534612" w:rsidRDefault="004F2755" w:rsidP="004F2755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2">
              <w:rPr>
                <w:rFonts w:ascii="Times New Roman" w:hAnsi="Times New Roman" w:cs="Times New Roman"/>
                <w:sz w:val="24"/>
                <w:szCs w:val="24"/>
              </w:rPr>
              <w:t>Compromiso con la calidad.</w:t>
            </w:r>
          </w:p>
          <w:p w:rsidR="004F2755" w:rsidRPr="00534612" w:rsidRDefault="004F2755" w:rsidP="004F2755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2"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4F2755" w:rsidRPr="00534612" w:rsidRDefault="004F2755" w:rsidP="004F2755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2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4F2755" w:rsidRDefault="004F2755" w:rsidP="004F27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Específicas:</w:t>
            </w:r>
          </w:p>
          <w:p w:rsidR="000F51F1" w:rsidRPr="000F51F1" w:rsidRDefault="000F51F1" w:rsidP="004F27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F51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4F2755" w:rsidRDefault="004F2755" w:rsidP="004F2755">
            <w:pPr>
              <w:pStyle w:val="Normal1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0F51F1" w:rsidRPr="000F51F1" w:rsidRDefault="000F51F1" w:rsidP="000F51F1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Gestión y liderazgo:</w:t>
            </w:r>
          </w:p>
          <w:p w:rsidR="004F2755" w:rsidRDefault="004F2755" w:rsidP="004F2755">
            <w:pPr>
              <w:pStyle w:val="Normal1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592534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505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6067"/>
      </w:tblGrid>
      <w:tr w:rsidR="00592534" w:rsidRPr="00BE5505" w:rsidTr="00033F89">
        <w:tc>
          <w:tcPr>
            <w:tcW w:w="10178" w:type="dxa"/>
            <w:gridSpan w:val="3"/>
          </w:tcPr>
          <w:p w:rsidR="00D35864" w:rsidRDefault="001B63A8" w:rsidP="00873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3A8">
              <w:rPr>
                <w:rFonts w:ascii="Times New Roman" w:hAnsi="Times New Roman" w:cs="Times New Roman"/>
                <w:sz w:val="24"/>
                <w:szCs w:val="24"/>
              </w:rPr>
              <w:t>La Asignatura contribuirá al desarrollo de las siguientes competencias:</w:t>
            </w:r>
          </w:p>
          <w:p w:rsidR="00311649" w:rsidRDefault="00311649" w:rsidP="00311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 xml:space="preserve">En el ámbito de las competencias genéricas, 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Clínica de Proceso de </w:t>
            </w: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 xml:space="preserve">Atención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Enfermería</w:t>
            </w:r>
            <w:r w:rsidRPr="001241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contribuye al desarrollo de la calidad,  a través del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interés permanente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estudiante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en alcanzar la excelencia en su desempeño profesional, mediante la continua planificación, evaluación y control de los procesos, orientado a la obtención y optimización de resultados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Durante el desarrollo de la actividad con pacientes reales,  le exige al estudiante  ac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tuar honestamente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en un contexto de respeto por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básicos,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respetando las diferencias individua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 y creencias aunque no sean p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ropias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Además de interactuar con pacientes y familia, i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nteractuar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distintas personas (profesionales, funcionarios no profesionales, compañeros y tutor) por lo que deberá utilizar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herramie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ntas de comunicación  efectiva,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liderazgo, para el logro adecuado de sus objetivos.</w:t>
            </w:r>
          </w:p>
          <w:p w:rsidR="00311649" w:rsidRDefault="00311649" w:rsidP="00311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ámbito de las competencias específicas, esta práctica intermedia, desarrolla en los estudiantes a través de escenarios reales y simulados, las siguientes competencias:</w:t>
            </w:r>
          </w:p>
          <w:p w:rsidR="00311649" w:rsidRDefault="00311649" w:rsidP="0031164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94">
              <w:rPr>
                <w:rFonts w:ascii="Times New Roman" w:hAnsi="Times New Roman" w:cs="Times New Roman"/>
                <w:sz w:val="24"/>
                <w:szCs w:val="24"/>
              </w:rPr>
              <w:t>Brind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atención holística al usuario y familia en el contexto de la atención al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Hospitalizado de baja complejidad.</w:t>
            </w:r>
          </w:p>
          <w:p w:rsidR="00311649" w:rsidRDefault="00311649" w:rsidP="0031164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3B7C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 los procesos fisiológicos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detectados a través del control de signos vitales, clínica de patologías crónicas más comunes e interpretación de exámenes.</w:t>
            </w:r>
          </w:p>
          <w:p w:rsidR="00311649" w:rsidRDefault="00311649" w:rsidP="0031164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662E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clínicos asistenciales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contexto de la atención al paciente Hospitalizado de baja complejidad.</w:t>
            </w:r>
          </w:p>
          <w:p w:rsidR="007E24C1" w:rsidRPr="007E24C1" w:rsidRDefault="007E24C1" w:rsidP="00311649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534" w:rsidRPr="00BE5505" w:rsidTr="00033F89">
        <w:tc>
          <w:tcPr>
            <w:tcW w:w="3828" w:type="dxa"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592534" w:rsidRPr="00BE5505" w:rsidRDefault="00592534" w:rsidP="005357E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592534" w:rsidRPr="00BE5505" w:rsidTr="00033F89">
        <w:trPr>
          <w:trHeight w:val="344"/>
        </w:trPr>
        <w:tc>
          <w:tcPr>
            <w:tcW w:w="3828" w:type="dxa"/>
          </w:tcPr>
          <w:p w:rsidR="00592534" w:rsidRDefault="00592534" w:rsidP="00632EC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2ECE">
              <w:rPr>
                <w:rFonts w:ascii="Times New Roman" w:hAnsi="Times New Roman" w:cs="Times New Roman"/>
                <w:b/>
                <w:sz w:val="24"/>
                <w:szCs w:val="24"/>
              </w:rPr>
              <w:t>Unidad 1</w:t>
            </w:r>
            <w:r w:rsidR="00632ECE" w:rsidRPr="00632ECE">
              <w:rPr>
                <w:rFonts w:ascii="Times New Roman" w:hAnsi="Times New Roman" w:cs="Times New Roman"/>
                <w:b/>
                <w:sz w:val="24"/>
                <w:szCs w:val="24"/>
              </w:rPr>
              <w:t>: Valoración</w:t>
            </w:r>
            <w:r w:rsidRPr="00632E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salud física</w:t>
            </w:r>
            <w:r w:rsidR="00632ECE" w:rsidRPr="00632EC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32ECE" w:rsidRPr="005357EA" w:rsidRDefault="00632ECE" w:rsidP="00632EC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7EA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5357EA" w:rsidRPr="00AF4E22" w:rsidRDefault="00AF4E22" w:rsidP="005357E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Etapa de Valoración y Diagnostico </w:t>
            </w:r>
            <w:r w:rsidR="005357EA">
              <w:rPr>
                <w:rFonts w:ascii="Times New Roman" w:hAnsi="Times New Roman" w:cs="Times New Roman"/>
                <w:sz w:val="24"/>
                <w:szCs w:val="24"/>
              </w:rPr>
              <w:t>del Proceso de Atención de Enfermería.</w:t>
            </w:r>
          </w:p>
          <w:p w:rsidR="00AF4E22" w:rsidRPr="00AF4E22" w:rsidRDefault="00AF4E22" w:rsidP="005357E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e interpretación de signos vitales.</w:t>
            </w:r>
          </w:p>
          <w:p w:rsidR="00AF4E22" w:rsidRPr="00AF4E22" w:rsidRDefault="00AF4E22" w:rsidP="00AF4E22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4E22" w:rsidRPr="005357EA" w:rsidRDefault="00AF4E22" w:rsidP="00AF4E22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57EA" w:rsidRPr="00852C01" w:rsidRDefault="005357EA" w:rsidP="00AF4E22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52C01" w:rsidRPr="005357EA" w:rsidRDefault="00852C01" w:rsidP="00AF4E22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466E6B" w:rsidRDefault="00466E6B" w:rsidP="00466E6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experiencia clínica,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2BDD" w:rsidRPr="00A960A6" w:rsidRDefault="00152BDD" w:rsidP="00466E6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Default="00C41244" w:rsidP="00632EC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 </w:t>
            </w:r>
            <w:r w:rsidR="00592534" w:rsidRPr="00632ECE">
              <w:rPr>
                <w:rFonts w:ascii="Times New Roman" w:hAnsi="Times New Roman" w:cs="Times New Roman"/>
                <w:sz w:val="24"/>
                <w:szCs w:val="24"/>
              </w:rPr>
              <w:t>habilidades de comunicación para realizar entrevista clínica en su primer contacto con el paciente real.</w:t>
            </w:r>
          </w:p>
          <w:p w:rsidR="00F00260" w:rsidRDefault="00466E6B" w:rsidP="00632EC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F00260">
              <w:rPr>
                <w:rFonts w:ascii="Times New Roman" w:hAnsi="Times New Roman" w:cs="Times New Roman"/>
                <w:sz w:val="24"/>
                <w:szCs w:val="24"/>
              </w:rPr>
              <w:t xml:space="preserve"> anamnesis completa del usuario.</w:t>
            </w:r>
          </w:p>
          <w:p w:rsidR="00592534" w:rsidRPr="00632ECE" w:rsidRDefault="00466E6B" w:rsidP="00632EC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Recopila</w:t>
            </w:r>
            <w:r w:rsidR="00592534" w:rsidRPr="00632ECE">
              <w:rPr>
                <w:rFonts w:ascii="Times New Roman" w:hAnsi="Times New Roman" w:cs="Times New Roman"/>
                <w:sz w:val="24"/>
                <w:szCs w:val="24"/>
              </w:rPr>
              <w:t xml:space="preserve"> información del paciente mediante entrevista con la familia, revisión de ficha clínica, entrevista con equipo multidisciplinario.</w:t>
            </w:r>
          </w:p>
          <w:p w:rsidR="00592534" w:rsidRPr="00632ECE" w:rsidRDefault="00466E6B" w:rsidP="00632EC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592534" w:rsidRPr="00632ECE">
              <w:rPr>
                <w:rFonts w:ascii="Times New Roman" w:hAnsi="Times New Roman" w:cs="Times New Roman"/>
                <w:sz w:val="24"/>
                <w:szCs w:val="24"/>
              </w:rPr>
              <w:t xml:space="preserve"> las necesidades reales y potenciales que presenta el paciente mediante el proceso de atención de enfermería.</w:t>
            </w:r>
          </w:p>
          <w:p w:rsidR="00592534" w:rsidRPr="00AF4E22" w:rsidRDefault="00466E6B" w:rsidP="00852C0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</w:t>
            </w:r>
            <w:r w:rsidR="00592534" w:rsidRPr="00632ECE">
              <w:rPr>
                <w:rFonts w:ascii="Times New Roman" w:hAnsi="Times New Roman" w:cs="Times New Roman"/>
                <w:sz w:val="24"/>
                <w:szCs w:val="24"/>
              </w:rPr>
              <w:t>factores protectores y redes de apoyo mediante el proceso de valoración.</w:t>
            </w:r>
          </w:p>
          <w:p w:rsidR="00AF4E22" w:rsidRPr="00852C01" w:rsidRDefault="00466E6B" w:rsidP="00852C0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AF4E22">
              <w:rPr>
                <w:rFonts w:ascii="Times New Roman" w:hAnsi="Times New Roman" w:cs="Times New Roman"/>
                <w:sz w:val="24"/>
                <w:szCs w:val="24"/>
              </w:rPr>
              <w:t>examen físico general y segmentario de manera completa.</w:t>
            </w:r>
          </w:p>
        </w:tc>
      </w:tr>
      <w:tr w:rsidR="00592534" w:rsidRPr="00BE5505" w:rsidTr="00033F89">
        <w:trPr>
          <w:trHeight w:val="182"/>
        </w:trPr>
        <w:tc>
          <w:tcPr>
            <w:tcW w:w="3828" w:type="dxa"/>
          </w:tcPr>
          <w:p w:rsidR="00592534" w:rsidRDefault="00592534" w:rsidP="00B93CA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CA5">
              <w:rPr>
                <w:rFonts w:ascii="Times New Roman" w:hAnsi="Times New Roman" w:cs="Times New Roman"/>
                <w:b/>
                <w:sz w:val="24"/>
                <w:szCs w:val="24"/>
              </w:rPr>
              <w:t>Unidad 2</w:t>
            </w:r>
            <w:r w:rsidR="00B93CA5" w:rsidRPr="00B93C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B93CA5">
              <w:rPr>
                <w:rFonts w:ascii="Times New Roman" w:hAnsi="Times New Roman" w:cs="Times New Roman"/>
                <w:b/>
                <w:sz w:val="24"/>
                <w:szCs w:val="24"/>
              </w:rPr>
              <w:t>Procedimientos clínicos básicos</w:t>
            </w:r>
            <w:r w:rsidR="00B93CA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93CA5" w:rsidRPr="001B7239" w:rsidRDefault="00B93CA5" w:rsidP="00B93CA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39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B93CA5" w:rsidRDefault="001B7239" w:rsidP="00B93CA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39">
              <w:rPr>
                <w:rFonts w:ascii="Times New Roman" w:hAnsi="Times New Roman" w:cs="Times New Roman"/>
                <w:sz w:val="24"/>
                <w:szCs w:val="24"/>
              </w:rPr>
              <w:t>Infecciones asociadas a la Atención de Salud.</w:t>
            </w:r>
          </w:p>
          <w:p w:rsidR="001B7239" w:rsidRDefault="00BE4A98" w:rsidP="00B93CA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Preparación y </w:t>
            </w:r>
            <w:r w:rsidR="00F00260">
              <w:rPr>
                <w:rFonts w:ascii="Times New Roman" w:hAnsi="Times New Roman" w:cs="Times New Roman"/>
                <w:sz w:val="24"/>
                <w:szCs w:val="24"/>
              </w:rPr>
              <w:t>Administración de Medicamentos.</w:t>
            </w:r>
          </w:p>
          <w:p w:rsidR="00F00260" w:rsidRPr="001B7239" w:rsidRDefault="00BE4A98" w:rsidP="00B93CA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Punciones.</w:t>
            </w:r>
          </w:p>
        </w:tc>
        <w:tc>
          <w:tcPr>
            <w:tcW w:w="283" w:type="dxa"/>
            <w:vMerge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152BDD" w:rsidRDefault="00152BDD" w:rsidP="00152B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experiencia clínica,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2BDD" w:rsidRPr="00A960A6" w:rsidRDefault="00152BDD" w:rsidP="00152B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B93CA5" w:rsidRDefault="00592534" w:rsidP="00B93C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CA5">
              <w:rPr>
                <w:rFonts w:ascii="Times New Roman" w:hAnsi="Times New Roman" w:cs="Times New Roman"/>
                <w:sz w:val="24"/>
                <w:szCs w:val="24"/>
              </w:rPr>
              <w:t>Aplica normas de Infecciones asociadas a la atención de salud en cada intervención al paciente.</w:t>
            </w:r>
          </w:p>
          <w:p w:rsidR="0062084A" w:rsidRDefault="00152BDD" w:rsidP="00B93C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Demuestra</w:t>
            </w:r>
            <w:r w:rsidR="0062084A" w:rsidRPr="00B93CA5">
              <w:rPr>
                <w:rFonts w:ascii="Times New Roman" w:hAnsi="Times New Roman" w:cs="Times New Roman"/>
                <w:sz w:val="24"/>
                <w:szCs w:val="24"/>
              </w:rPr>
              <w:t xml:space="preserve"> habilidades en la preparación y administración de medicamentos, respetando los 5 correctos y considerando la responsabilidad legal en el procedimiento.</w:t>
            </w:r>
          </w:p>
          <w:p w:rsidR="00F00260" w:rsidRDefault="00592534" w:rsidP="00152BD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CA5">
              <w:rPr>
                <w:rFonts w:ascii="Times New Roman" w:hAnsi="Times New Roman" w:cs="Times New Roman"/>
                <w:sz w:val="24"/>
                <w:szCs w:val="24"/>
              </w:rPr>
              <w:t xml:space="preserve">Realiza procedimientos </w:t>
            </w:r>
            <w:r w:rsidR="004A220C">
              <w:rPr>
                <w:rFonts w:ascii="Times New Roman" w:hAnsi="Times New Roman" w:cs="Times New Roman"/>
                <w:sz w:val="24"/>
                <w:szCs w:val="24"/>
              </w:rPr>
              <w:t>clínicos básicos tales como; toma de muestra de sangre venosa, curaciones simples, Instalación de vía venosa periférica</w:t>
            </w:r>
            <w:r w:rsidRPr="00B93CA5">
              <w:rPr>
                <w:rFonts w:ascii="Times New Roman" w:hAnsi="Times New Roman" w:cs="Times New Roman"/>
                <w:sz w:val="24"/>
                <w:szCs w:val="24"/>
              </w:rPr>
              <w:t xml:space="preserve">  incorporando conceptos de anatomía, fisiología y fisiopatología en cada uno de ellos</w:t>
            </w:r>
            <w:r w:rsidR="00BE4A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BDD" w:rsidRDefault="00152BDD" w:rsidP="00152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BDD" w:rsidRDefault="00152BDD" w:rsidP="00152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BDD" w:rsidRPr="00152BDD" w:rsidRDefault="00152BDD" w:rsidP="00152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534" w:rsidRPr="00BE5505" w:rsidTr="00033F89">
        <w:trPr>
          <w:trHeight w:val="151"/>
        </w:trPr>
        <w:tc>
          <w:tcPr>
            <w:tcW w:w="3828" w:type="dxa"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8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</w:t>
            </w:r>
            <w:r w:rsidR="0062084A" w:rsidRPr="006208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r w:rsidRPr="006208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Cuidados de enfermería</w:t>
            </w:r>
            <w:r w:rsidR="00620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E55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2084A" w:rsidRPr="00BE4A98" w:rsidRDefault="0062084A" w:rsidP="0062084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8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852C01" w:rsidRPr="008A762F" w:rsidRDefault="007825BA" w:rsidP="00852C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Etapa de Planificación, ejecución y Evaluación del Proceso de Atención de </w:t>
            </w:r>
            <w:r w:rsidR="00852C01">
              <w:rPr>
                <w:rFonts w:ascii="Times New Roman" w:hAnsi="Times New Roman" w:cs="Times New Roman"/>
                <w:sz w:val="24"/>
                <w:szCs w:val="24"/>
              </w:rPr>
              <w:t>Enfermería.</w:t>
            </w:r>
          </w:p>
          <w:p w:rsidR="008A762F" w:rsidRPr="008A762F" w:rsidRDefault="008A762F" w:rsidP="00852C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Conducta a seguir frente alteraciones Hemodinámicas.</w:t>
            </w:r>
          </w:p>
          <w:p w:rsidR="008A762F" w:rsidRDefault="008A762F" w:rsidP="00852C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62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onducta a seguir frente a descompensa</w:t>
            </w:r>
            <w:r w:rsidRPr="008A762F">
              <w:rPr>
                <w:rFonts w:ascii="Times New Roman" w:hAnsi="Times New Roman" w:cs="Times New Roman"/>
                <w:sz w:val="24"/>
                <w:szCs w:val="24"/>
              </w:rPr>
              <w:t>ciones de patologías crónicas más comunes.</w:t>
            </w:r>
          </w:p>
          <w:p w:rsidR="008A762F" w:rsidRDefault="008A762F" w:rsidP="00852C0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Rangos normales y alteraciones de exámenes de sangre.</w:t>
            </w:r>
            <w:r w:rsidRPr="008A7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762F" w:rsidRPr="008A762F" w:rsidRDefault="008A762F" w:rsidP="008A762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2534" w:rsidRPr="0062084A" w:rsidRDefault="00592534" w:rsidP="007825B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:rsidR="00152BDD" w:rsidRPr="00152BDD" w:rsidRDefault="00152BDD" w:rsidP="00152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BDD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simulación y experiencia clínica, el  alumno:</w:t>
            </w:r>
          </w:p>
          <w:p w:rsidR="00FD64EA" w:rsidRDefault="00592534" w:rsidP="00620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84A">
              <w:rPr>
                <w:rFonts w:ascii="Times New Roman" w:hAnsi="Times New Roman" w:cs="Times New Roman"/>
                <w:sz w:val="24"/>
                <w:szCs w:val="24"/>
              </w:rPr>
              <w:t xml:space="preserve">Formula un plan de cuidados </w:t>
            </w:r>
            <w:r w:rsidR="00FD64EA">
              <w:rPr>
                <w:rFonts w:ascii="Times New Roman" w:hAnsi="Times New Roman" w:cs="Times New Roman"/>
                <w:sz w:val="24"/>
                <w:szCs w:val="24"/>
              </w:rPr>
              <w:t>de enfermería en relación a las necesidades reales y potenciales detectadas mediante el Proceso de Atención de Enfermería.</w:t>
            </w:r>
          </w:p>
          <w:p w:rsidR="00592534" w:rsidRPr="0062084A" w:rsidRDefault="00152BDD" w:rsidP="0062084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FD64EA">
              <w:rPr>
                <w:rFonts w:ascii="Times New Roman" w:hAnsi="Times New Roman" w:cs="Times New Roman"/>
                <w:sz w:val="24"/>
                <w:szCs w:val="24"/>
              </w:rPr>
              <w:t xml:space="preserve"> un Plan de Cuidados de Enfermería </w:t>
            </w:r>
            <w:r w:rsidR="00592534" w:rsidRPr="0062084A">
              <w:rPr>
                <w:rFonts w:ascii="Times New Roman" w:hAnsi="Times New Roman" w:cs="Times New Roman"/>
                <w:sz w:val="24"/>
                <w:szCs w:val="24"/>
              </w:rPr>
              <w:t>que este acorde con l</w:t>
            </w:r>
            <w:r w:rsidR="00FD64EA">
              <w:rPr>
                <w:rFonts w:ascii="Times New Roman" w:hAnsi="Times New Roman" w:cs="Times New Roman"/>
                <w:sz w:val="24"/>
                <w:szCs w:val="24"/>
              </w:rPr>
              <w:t>a realidad del establecimiento,</w:t>
            </w:r>
            <w:r w:rsidR="00592534" w:rsidRPr="0062084A">
              <w:rPr>
                <w:rFonts w:ascii="Times New Roman" w:hAnsi="Times New Roman" w:cs="Times New Roman"/>
                <w:sz w:val="24"/>
                <w:szCs w:val="24"/>
              </w:rPr>
              <w:t xml:space="preserve"> las condicio</w:t>
            </w:r>
            <w:r w:rsidR="00FD64EA">
              <w:rPr>
                <w:rFonts w:ascii="Times New Roman" w:hAnsi="Times New Roman" w:cs="Times New Roman"/>
                <w:sz w:val="24"/>
                <w:szCs w:val="24"/>
              </w:rPr>
              <w:t>nes socioeconómicas del usuario, la condición mental del usuario</w:t>
            </w:r>
            <w:r w:rsidR="00592534" w:rsidRPr="0062084A">
              <w:rPr>
                <w:rFonts w:ascii="Times New Roman" w:hAnsi="Times New Roman" w:cs="Times New Roman"/>
                <w:sz w:val="24"/>
                <w:szCs w:val="24"/>
              </w:rPr>
              <w:t xml:space="preserve"> y que involucre al paciente, la familia y el equipo multidisciplinario. </w:t>
            </w:r>
          </w:p>
          <w:p w:rsidR="00852C01" w:rsidRDefault="00152BDD" w:rsidP="00852C0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</w:t>
            </w:r>
            <w:r w:rsidR="00852C01" w:rsidRPr="00852C01">
              <w:rPr>
                <w:rFonts w:ascii="Times New Roman" w:hAnsi="Times New Roman" w:cs="Times New Roman"/>
                <w:sz w:val="24"/>
                <w:szCs w:val="24"/>
              </w:rPr>
              <w:t xml:space="preserve"> la situación de salud actual del usuario </w:t>
            </w:r>
            <w:r w:rsidR="00FD64EA">
              <w:rPr>
                <w:rFonts w:ascii="Times New Roman" w:hAnsi="Times New Roman" w:cs="Times New Roman"/>
                <w:sz w:val="24"/>
                <w:szCs w:val="24"/>
              </w:rPr>
              <w:t>y reformular su Plan de Cuidados en caso de que lo requiera.</w:t>
            </w:r>
          </w:p>
          <w:p w:rsidR="00AF4E22" w:rsidRPr="008A762F" w:rsidRDefault="00152BDD" w:rsidP="008A762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AF4E22" w:rsidRPr="008A762F">
              <w:rPr>
                <w:rFonts w:ascii="Times New Roman" w:hAnsi="Times New Roman" w:cs="Times New Roman"/>
                <w:sz w:val="24"/>
                <w:szCs w:val="24"/>
              </w:rPr>
              <w:t xml:space="preserve"> alteraciones de los procesos fisiológicos mediante el control de Signos vitales, sintomatología clínica de patologías crónicas más comunes y evaluación de exámenes de sangre. </w:t>
            </w:r>
          </w:p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534" w:rsidRPr="005A1AFC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AFC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  <w:r w:rsidR="00D24AAA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92534" w:rsidRPr="005A1AFC" w:rsidTr="00EE22B8">
        <w:tc>
          <w:tcPr>
            <w:tcW w:w="9214" w:type="dxa"/>
          </w:tcPr>
          <w:p w:rsidR="00F76900" w:rsidRPr="00F76900" w:rsidRDefault="00F76900" w:rsidP="00F769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F76900" w:rsidRPr="00820687" w:rsidRDefault="00F76900" w:rsidP="00F769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</w:p>
          <w:p w:rsidR="00F76900" w:rsidRPr="00820687" w:rsidRDefault="00EE22B8" w:rsidP="00F769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Laboratorio de Simulación:  2</w:t>
            </w:r>
            <w:r w:rsidR="00F76900"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semanas (lunes a jueves) en media jornada, previo a su práctica clínica, corresponde al 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76900" w:rsidRPr="00820687">
              <w:rPr>
                <w:rFonts w:ascii="Times New Roman" w:hAnsi="Times New Roman" w:cs="Times New Roman"/>
                <w:sz w:val="24"/>
                <w:szCs w:val="24"/>
              </w:rPr>
              <w:t>% de la nota final = 40 horas</w:t>
            </w:r>
          </w:p>
          <w:p w:rsidR="00F76900" w:rsidRPr="00820687" w:rsidRDefault="00F76900" w:rsidP="00F769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  <w:r w:rsidR="00072EA9"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semanas (lunes a jueves) en media jornada, corresponde al 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% de su evaluación final = </w:t>
            </w:r>
            <w:r w:rsidR="00072EA9" w:rsidRPr="0082068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horas.</w:t>
            </w:r>
          </w:p>
          <w:p w:rsidR="00E32171" w:rsidRPr="00820687" w:rsidRDefault="00F76900" w:rsidP="00F769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Trabajo de Presentación de Caso Clínico, corresponde</w:t>
            </w:r>
            <w:r w:rsidR="00072EA9"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% de su evaluación final =</w:t>
            </w:r>
            <w:r w:rsidRPr="00F7690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072EA9" w:rsidRPr="008206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026A"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hora</w:t>
            </w:r>
            <w:r w:rsidR="00E32171" w:rsidRPr="00820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32171" w:rsidRPr="00820687" w:rsidRDefault="00E32171" w:rsidP="00E321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171" w:rsidRPr="00820687" w:rsidRDefault="00E32171" w:rsidP="00E321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Para el cumplimiento de las activid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ades señaladas, se utilizarán la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s siguientes 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de aprendizaje:</w:t>
            </w:r>
          </w:p>
          <w:p w:rsidR="00E32171" w:rsidRPr="00820687" w:rsidRDefault="00E32171" w:rsidP="00E321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2171" w:rsidRPr="00C4295C" w:rsidRDefault="00EE22B8" w:rsidP="00E3217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Talleres en Laboratorio</w:t>
            </w:r>
            <w:r w:rsidR="00E32171" w:rsidRPr="00C4295C">
              <w:rPr>
                <w:rFonts w:ascii="Times New Roman" w:hAnsi="Times New Roman" w:cs="Times New Roman"/>
                <w:sz w:val="24"/>
                <w:szCs w:val="24"/>
              </w:rPr>
              <w:t xml:space="preserve"> de Enfermería básica.</w:t>
            </w:r>
          </w:p>
          <w:p w:rsidR="00C4295C" w:rsidRPr="00EE22B8" w:rsidRDefault="00E32171" w:rsidP="00EE22B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295C">
              <w:rPr>
                <w:rFonts w:ascii="Times New Roman" w:hAnsi="Times New Roman" w:cs="Times New Roman"/>
                <w:sz w:val="24"/>
                <w:szCs w:val="24"/>
              </w:rPr>
              <w:t>Servicio Clínico de</w:t>
            </w:r>
            <w:r w:rsidR="00EE22B8">
              <w:rPr>
                <w:rFonts w:ascii="Times New Roman" w:hAnsi="Times New Roman" w:cs="Times New Roman"/>
                <w:sz w:val="24"/>
                <w:szCs w:val="24"/>
              </w:rPr>
              <w:t xml:space="preserve"> Servicio de Cirugía </w:t>
            </w:r>
            <w:r w:rsidRPr="00C4295C">
              <w:rPr>
                <w:rFonts w:ascii="Times New Roman" w:hAnsi="Times New Roman" w:cs="Times New Roman"/>
                <w:sz w:val="24"/>
                <w:szCs w:val="24"/>
              </w:rPr>
              <w:t>del Hospital Regional.</w:t>
            </w:r>
          </w:p>
          <w:p w:rsidR="00C4295C" w:rsidRPr="00C4295C" w:rsidRDefault="00EE22B8" w:rsidP="00C4295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Actividades de </w:t>
            </w:r>
            <w:r w:rsidR="00C4295C" w:rsidRPr="00C4295C">
              <w:rPr>
                <w:rFonts w:ascii="Times New Roman" w:hAnsi="Times New Roman" w:cs="Times New Roman"/>
                <w:sz w:val="24"/>
                <w:szCs w:val="24"/>
              </w:rPr>
              <w:t>Simulación Clínica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paciente Ficticio.</w:t>
            </w:r>
          </w:p>
          <w:p w:rsidR="00C4295C" w:rsidRPr="00EE22B8" w:rsidRDefault="00EE22B8" w:rsidP="00EE22B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 casos clínicos.</w:t>
            </w:r>
          </w:p>
          <w:p w:rsidR="00592534" w:rsidRPr="00D24AAA" w:rsidRDefault="00592534" w:rsidP="00072EA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592534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BDD" w:rsidRDefault="00152BDD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BDD" w:rsidRPr="00BE5505" w:rsidRDefault="00152BDD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505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92534" w:rsidRPr="00BE5505" w:rsidTr="005357EA">
        <w:tc>
          <w:tcPr>
            <w:tcW w:w="9214" w:type="dxa"/>
          </w:tcPr>
          <w:p w:rsidR="00970CDD" w:rsidRPr="00820687" w:rsidRDefault="00970CDD" w:rsidP="00970CD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Laboratorio d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e Simulación: corresponde al 10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% de la nota final.</w:t>
            </w:r>
          </w:p>
          <w:p w:rsidR="00970CDD" w:rsidRPr="00820687" w:rsidRDefault="00970CDD" w:rsidP="00970CD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970CDD" w:rsidRPr="00820687" w:rsidRDefault="00970CDD" w:rsidP="00970CDD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tipo taller al inicio del periodo de laboratorios.</w:t>
            </w:r>
          </w:p>
          <w:p w:rsidR="00970CDD" w:rsidRPr="00820687" w:rsidRDefault="00970CDD" w:rsidP="00970CD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CDD" w:rsidRPr="00820687" w:rsidRDefault="00970CDD" w:rsidP="00970CD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970CDD" w:rsidRPr="00820687" w:rsidRDefault="00970CDD" w:rsidP="00970CDD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970CDD" w:rsidRPr="00970CDD" w:rsidRDefault="00970CDD" w:rsidP="00970CDD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70CDD" w:rsidRPr="00820687" w:rsidRDefault="00970CDD" w:rsidP="00970CD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Evaluación Sumativa: ejemplo.</w:t>
            </w:r>
          </w:p>
          <w:p w:rsidR="00970CDD" w:rsidRPr="00820687" w:rsidRDefault="00970CDD" w:rsidP="00970CDD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970CDD" w:rsidRPr="00820687" w:rsidRDefault="00970CDD" w:rsidP="00970CDD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970CDD" w:rsidRPr="00820687" w:rsidRDefault="00970CDD" w:rsidP="00970CDD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Actividad de simulación de procedimientos: 50% de nota de laboratorio.</w:t>
            </w: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corresponde al  </w:t>
            </w:r>
            <w:r w:rsidR="00EE22B8" w:rsidRPr="0082068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% de su nota final.</w:t>
            </w:r>
          </w:p>
          <w:p w:rsidR="006611B1" w:rsidRPr="00820687" w:rsidRDefault="006611B1" w:rsidP="006611B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atención directa de pacientes por parte del profesional tutor.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Evaluación Sumativa: en este ámbito se aplican tres pautas de evaluación del desempeño clínico del estudiante, en las  que se evalúan los aspectos </w:t>
            </w:r>
            <w:proofErr w:type="spellStart"/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, procedimentales y cognoscitivos. El primer día de inicio de la práctica el tutor deberá dar lectura a las pautas de evaluación de desempeño y dejar registrado este evento en hoja ad-hoc con firma del estudiante.</w:t>
            </w: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6611B1" w:rsidRPr="00820687" w:rsidRDefault="006611B1" w:rsidP="00661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Área Actitudinal: 20%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Área Cognoscitiva: 40%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Área Procedimental: 40%</w:t>
            </w:r>
          </w:p>
          <w:p w:rsidR="006611B1" w:rsidRPr="00820687" w:rsidRDefault="006611B1" w:rsidP="006611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11B1" w:rsidRPr="00820687" w:rsidRDefault="006611B1" w:rsidP="006611B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Trabajo de </w:t>
            </w:r>
            <w:r w:rsidR="00841160"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estudio y 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 xml:space="preserve"> Presentación de Caso Clínico y estudio de familia. Corresponde al </w:t>
            </w:r>
            <w:r w:rsidR="00820687" w:rsidRPr="00820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% de la nota final.</w:t>
            </w:r>
          </w:p>
          <w:p w:rsidR="006611B1" w:rsidRPr="00820687" w:rsidRDefault="006611B1" w:rsidP="006611B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Evaluación Sumativa.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6611B1" w:rsidRPr="00820687" w:rsidRDefault="006611B1" w:rsidP="006611B1">
            <w:pPr>
              <w:pStyle w:val="Prrafodelista"/>
              <w:numPr>
                <w:ilvl w:val="2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0687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592534" w:rsidRPr="00BE5505" w:rsidRDefault="00592534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2534" w:rsidRPr="00BE5505" w:rsidRDefault="00592534" w:rsidP="00592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1DC">
        <w:rPr>
          <w:rFonts w:ascii="Times New Roman" w:hAnsi="Times New Roman" w:cs="Times New Roman"/>
          <w:b/>
          <w:sz w:val="24"/>
          <w:szCs w:val="24"/>
        </w:rPr>
        <w:t>Recursos de aprendizaje</w:t>
      </w:r>
      <w:r w:rsidR="00B82DA4" w:rsidRPr="002251D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592534" w:rsidRPr="00BE5505" w:rsidTr="005357EA">
        <w:tc>
          <w:tcPr>
            <w:tcW w:w="9214" w:type="dxa"/>
          </w:tcPr>
          <w:p w:rsidR="00592534" w:rsidRDefault="002251DC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</w:t>
            </w:r>
          </w:p>
          <w:p w:rsidR="002251DC" w:rsidRPr="00BE5505" w:rsidRDefault="002251DC" w:rsidP="005357E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2534" w:rsidRPr="003E39F4" w:rsidRDefault="00592534" w:rsidP="00970CD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Audrey J. Berman,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Shirlee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Snyder (2013). </w:t>
            </w: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Fundamentos de enfermería: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Kozier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Erb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(9°</w:t>
            </w:r>
            <w:proofErr w:type="gram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edicion )</w:t>
            </w:r>
            <w:proofErr w:type="gram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Madrid: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Pearson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educación.</w:t>
            </w:r>
          </w:p>
          <w:p w:rsidR="00592534" w:rsidRDefault="00592534" w:rsidP="00970CD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Sharon Jensen (2012). Valoración de la salud en enfermería: una guía práctica</w:t>
            </w:r>
            <w:proofErr w:type="gram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.(</w:t>
            </w:r>
            <w:proofErr w:type="gram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1°Edición ).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Estados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Unidos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LIPPINCOTT WILLIAMS WILKINS.</w:t>
            </w:r>
          </w:p>
          <w:p w:rsidR="00517D5A" w:rsidRPr="00A36F0F" w:rsidRDefault="00A36F0F" w:rsidP="00A36F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7F7F9"/>
                <w:lang w:val="en-US"/>
              </w:rPr>
            </w:pPr>
            <w:r w:rsidRPr="00A36F0F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7F7F9"/>
                <w:lang w:val="en-US"/>
              </w:rPr>
              <w:t>Bibliografía Complementaria</w:t>
            </w:r>
          </w:p>
          <w:p w:rsidR="002251DC" w:rsidRPr="003E39F4" w:rsidRDefault="002251DC" w:rsidP="002251D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</w:pPr>
          </w:p>
          <w:p w:rsidR="00592534" w:rsidRPr="003E39F4" w:rsidRDefault="00592534" w:rsidP="002251D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Martha Rile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Alligood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, Ann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Marriner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>Tomey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  <w:lang w:val="en-US"/>
              </w:rPr>
              <w:t xml:space="preserve"> (2011). </w:t>
            </w: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Modelos y teorías: en enfermería</w:t>
            </w:r>
            <w:proofErr w:type="gram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.(</w:t>
            </w:r>
            <w:proofErr w:type="gram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 xml:space="preserve">7° edición).Barcelona: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Elsevier</w:t>
            </w:r>
            <w:proofErr w:type="spellEnd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 xml:space="preserve"> </w:t>
            </w:r>
            <w:proofErr w:type="spellStart"/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Mosby</w:t>
            </w:r>
            <w:proofErr w:type="spellEnd"/>
            <w:r w:rsidR="003E39F4"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7F7F9"/>
              </w:rPr>
              <w:t>.</w:t>
            </w:r>
          </w:p>
          <w:p w:rsidR="00592534" w:rsidRPr="00BE5505" w:rsidRDefault="00592534" w:rsidP="00970C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592534" w:rsidRPr="00BE5505" w:rsidRDefault="00592534" w:rsidP="00970C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92534" w:rsidRPr="003E39F4" w:rsidRDefault="00592534" w:rsidP="003E39F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</w:rPr>
              <w:t>http://web.minsal.cl/infecciones_intrahospitalarias</w:t>
            </w:r>
          </w:p>
          <w:p w:rsidR="00592534" w:rsidRPr="003E39F4" w:rsidRDefault="00592534" w:rsidP="003E39F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web.minsal.cl/AUGE_</w:t>
            </w:r>
            <w:r w:rsidRPr="003E39F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GUIAS</w:t>
            </w:r>
            <w:r w:rsidRPr="003E39F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_CLINICAS</w:t>
            </w:r>
          </w:p>
          <w:p w:rsidR="00592534" w:rsidRPr="00BE5505" w:rsidRDefault="00592534" w:rsidP="00970C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505">
              <w:rPr>
                <w:rFonts w:ascii="Times New Roman" w:hAnsi="Times New Roman" w:cs="Times New Roman"/>
                <w:b/>
                <w:sz w:val="24"/>
                <w:szCs w:val="24"/>
              </w:rPr>
              <w:t>Otros recursos</w:t>
            </w:r>
          </w:p>
          <w:p w:rsidR="00592534" w:rsidRPr="00BE5505" w:rsidRDefault="00592534" w:rsidP="00970CD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2534" w:rsidRDefault="00592534" w:rsidP="003E39F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9F4">
              <w:rPr>
                <w:rFonts w:ascii="Times New Roman" w:hAnsi="Times New Roman" w:cs="Times New Roman"/>
                <w:sz w:val="24"/>
                <w:szCs w:val="24"/>
              </w:rPr>
              <w:t>Observación y ejecución de procedimientos clínicos.</w:t>
            </w:r>
          </w:p>
          <w:p w:rsidR="00A36F0F" w:rsidRDefault="00A36F0F" w:rsidP="003E39F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Equipamiento e instrumental para la realización de Procedimientos Clínicos Básicos.</w:t>
            </w:r>
          </w:p>
          <w:p w:rsidR="00A36F0F" w:rsidRPr="003E39F4" w:rsidRDefault="00A36F0F" w:rsidP="003E39F4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Fantomas y equipo de Simulación básica e Intermedia.</w:t>
            </w:r>
          </w:p>
        </w:tc>
      </w:tr>
    </w:tbl>
    <w:p w:rsidR="00592534" w:rsidRDefault="00592534" w:rsidP="00592534">
      <w:pPr>
        <w:tabs>
          <w:tab w:val="left" w:pos="1738"/>
        </w:tabs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534" w:rsidRDefault="00592534" w:rsidP="005925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57EA" w:rsidRDefault="005357EA"/>
    <w:sectPr w:rsidR="005357EA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73C" w:rsidRDefault="009C373C" w:rsidP="00592534">
      <w:pPr>
        <w:spacing w:after="0" w:line="240" w:lineRule="auto"/>
      </w:pPr>
      <w:r>
        <w:separator/>
      </w:r>
    </w:p>
  </w:endnote>
  <w:endnote w:type="continuationSeparator" w:id="0">
    <w:p w:rsidR="009C373C" w:rsidRDefault="009C373C" w:rsidP="0059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73C" w:rsidRDefault="009C373C" w:rsidP="00592534">
      <w:pPr>
        <w:spacing w:after="0" w:line="240" w:lineRule="auto"/>
      </w:pPr>
      <w:r>
        <w:separator/>
      </w:r>
    </w:p>
  </w:footnote>
  <w:footnote w:type="continuationSeparator" w:id="0">
    <w:p w:rsidR="009C373C" w:rsidRDefault="009C373C" w:rsidP="0059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C373C" w:rsidTr="005357EA">
      <w:trPr>
        <w:jc w:val="center"/>
      </w:trPr>
      <w:tc>
        <w:tcPr>
          <w:tcW w:w="2023" w:type="dxa"/>
        </w:tcPr>
        <w:p w:rsidR="009C373C" w:rsidRDefault="009C373C" w:rsidP="005357E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9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C373C" w:rsidRDefault="009C373C" w:rsidP="005357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C373C" w:rsidRPr="00607538" w:rsidRDefault="00EB73FD" w:rsidP="005357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9C373C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C373C" w:rsidRPr="00607538" w:rsidRDefault="009C373C" w:rsidP="005357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C373C" w:rsidRPr="00607538" w:rsidRDefault="009C373C" w:rsidP="005357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C373C" w:rsidRPr="00607538" w:rsidRDefault="009C373C" w:rsidP="005357EA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C373C" w:rsidRDefault="009C373C" w:rsidP="005357EA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0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C373C" w:rsidRDefault="009C373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82C"/>
    <w:multiLevelType w:val="hybridMultilevel"/>
    <w:tmpl w:val="F7A2C35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1120274A"/>
    <w:multiLevelType w:val="hybridMultilevel"/>
    <w:tmpl w:val="E13657D6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122139EC"/>
    <w:multiLevelType w:val="hybridMultilevel"/>
    <w:tmpl w:val="A244B4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B5429"/>
    <w:multiLevelType w:val="hybridMultilevel"/>
    <w:tmpl w:val="F76CA75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20C966E2"/>
    <w:multiLevelType w:val="hybridMultilevel"/>
    <w:tmpl w:val="2446D70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2C0041E1"/>
    <w:multiLevelType w:val="hybridMultilevel"/>
    <w:tmpl w:val="0AC0A3E8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B3310"/>
    <w:multiLevelType w:val="hybridMultilevel"/>
    <w:tmpl w:val="517C7F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3E0C"/>
    <w:multiLevelType w:val="hybridMultilevel"/>
    <w:tmpl w:val="38AEC43A"/>
    <w:lvl w:ilvl="0" w:tplc="979CEBC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80EED3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514851"/>
    <w:multiLevelType w:val="hybridMultilevel"/>
    <w:tmpl w:val="47DE9A76"/>
    <w:lvl w:ilvl="0" w:tplc="EB0A6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159A1"/>
    <w:multiLevelType w:val="hybridMultilevel"/>
    <w:tmpl w:val="6F547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ED3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F5388"/>
    <w:multiLevelType w:val="hybridMultilevel"/>
    <w:tmpl w:val="D1E62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>
    <w:nsid w:val="4801193D"/>
    <w:multiLevelType w:val="hybridMultilevel"/>
    <w:tmpl w:val="EF86896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F5A5B"/>
    <w:multiLevelType w:val="hybridMultilevel"/>
    <w:tmpl w:val="3F34339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A03C3C"/>
    <w:multiLevelType w:val="hybridMultilevel"/>
    <w:tmpl w:val="F64A2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11"/>
  </w:num>
  <w:num w:numId="7">
    <w:abstractNumId w:val="16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15"/>
  </w:num>
  <w:num w:numId="13">
    <w:abstractNumId w:val="1"/>
  </w:num>
  <w:num w:numId="14">
    <w:abstractNumId w:val="14"/>
  </w:num>
  <w:num w:numId="15">
    <w:abstractNumId w:val="18"/>
  </w:num>
  <w:num w:numId="16">
    <w:abstractNumId w:val="17"/>
  </w:num>
  <w:num w:numId="17">
    <w:abstractNumId w:val="3"/>
  </w:num>
  <w:num w:numId="18">
    <w:abstractNumId w:val="2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92534"/>
    <w:rsid w:val="0000026A"/>
    <w:rsid w:val="00033F89"/>
    <w:rsid w:val="00072EA9"/>
    <w:rsid w:val="00086D7E"/>
    <w:rsid w:val="000F51F1"/>
    <w:rsid w:val="00152BDD"/>
    <w:rsid w:val="00155E44"/>
    <w:rsid w:val="001B63A8"/>
    <w:rsid w:val="001B7239"/>
    <w:rsid w:val="00216267"/>
    <w:rsid w:val="002251DC"/>
    <w:rsid w:val="0026056B"/>
    <w:rsid w:val="002918C2"/>
    <w:rsid w:val="002D4E44"/>
    <w:rsid w:val="002D6A50"/>
    <w:rsid w:val="00311649"/>
    <w:rsid w:val="003A5712"/>
    <w:rsid w:val="003E39F4"/>
    <w:rsid w:val="00415F81"/>
    <w:rsid w:val="0045743A"/>
    <w:rsid w:val="00466E6B"/>
    <w:rsid w:val="0047152C"/>
    <w:rsid w:val="004943DA"/>
    <w:rsid w:val="004A220C"/>
    <w:rsid w:val="004B6D79"/>
    <w:rsid w:val="004E6610"/>
    <w:rsid w:val="004F2755"/>
    <w:rsid w:val="00517D5A"/>
    <w:rsid w:val="00534612"/>
    <w:rsid w:val="005357EA"/>
    <w:rsid w:val="005841DF"/>
    <w:rsid w:val="00592534"/>
    <w:rsid w:val="0062084A"/>
    <w:rsid w:val="00632ECE"/>
    <w:rsid w:val="006611B1"/>
    <w:rsid w:val="006702F3"/>
    <w:rsid w:val="00770CBE"/>
    <w:rsid w:val="007825BA"/>
    <w:rsid w:val="007D5517"/>
    <w:rsid w:val="007E24C1"/>
    <w:rsid w:val="00820687"/>
    <w:rsid w:val="00841160"/>
    <w:rsid w:val="00852C01"/>
    <w:rsid w:val="00873AB1"/>
    <w:rsid w:val="0088116E"/>
    <w:rsid w:val="008A4F99"/>
    <w:rsid w:val="008A762F"/>
    <w:rsid w:val="008D3A34"/>
    <w:rsid w:val="00970CDD"/>
    <w:rsid w:val="00972A22"/>
    <w:rsid w:val="009C373C"/>
    <w:rsid w:val="00A36F0F"/>
    <w:rsid w:val="00AF4E22"/>
    <w:rsid w:val="00B374FE"/>
    <w:rsid w:val="00B82DA4"/>
    <w:rsid w:val="00B93CA5"/>
    <w:rsid w:val="00BA2910"/>
    <w:rsid w:val="00BE4A98"/>
    <w:rsid w:val="00C41244"/>
    <w:rsid w:val="00C4295C"/>
    <w:rsid w:val="00C93060"/>
    <w:rsid w:val="00D24AAA"/>
    <w:rsid w:val="00D35864"/>
    <w:rsid w:val="00E26789"/>
    <w:rsid w:val="00E32171"/>
    <w:rsid w:val="00EB73FD"/>
    <w:rsid w:val="00EE22B8"/>
    <w:rsid w:val="00F00260"/>
    <w:rsid w:val="00F76900"/>
    <w:rsid w:val="00FA685D"/>
    <w:rsid w:val="00FB0FCE"/>
    <w:rsid w:val="00FD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5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9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92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92534"/>
  </w:style>
  <w:style w:type="paragraph" w:styleId="Piedepgina">
    <w:name w:val="footer"/>
    <w:basedOn w:val="Normal"/>
    <w:link w:val="PiedepginaCar"/>
    <w:uiPriority w:val="99"/>
    <w:semiHidden/>
    <w:unhideWhenUsed/>
    <w:rsid w:val="00592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2534"/>
  </w:style>
  <w:style w:type="paragraph" w:styleId="Sinespaciado">
    <w:name w:val="No Spacing"/>
    <w:uiPriority w:val="1"/>
    <w:qFormat/>
    <w:rsid w:val="00592534"/>
    <w:pPr>
      <w:spacing w:after="0" w:line="240" w:lineRule="auto"/>
    </w:pPr>
  </w:style>
  <w:style w:type="paragraph" w:customStyle="1" w:styleId="Normal1">
    <w:name w:val="Normal1"/>
    <w:rsid w:val="00592534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34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632E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2ECE"/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2ECE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1555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2016-06-09T20:45:00Z</dcterms:created>
  <dcterms:modified xsi:type="dcterms:W3CDTF">2016-06-09T20:45:00Z</dcterms:modified>
</cp:coreProperties>
</file>