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00" w:rsidRPr="00D34988" w:rsidRDefault="00C67000" w:rsidP="00C670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4988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C67000" w:rsidRPr="00D34988" w:rsidRDefault="00C67000" w:rsidP="00C670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000" w:rsidRPr="00D34988" w:rsidRDefault="00C67000" w:rsidP="00C670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4988">
        <w:rPr>
          <w:rFonts w:ascii="Times New Roman" w:hAnsi="Times New Roman" w:cs="Times New Roman"/>
          <w:b/>
          <w:sz w:val="24"/>
          <w:szCs w:val="24"/>
        </w:rPr>
        <w:t>GESTIÓN  EN SALUD II</w:t>
      </w:r>
    </w:p>
    <w:p w:rsidR="00C67000" w:rsidRPr="00D34988" w:rsidRDefault="00C67000" w:rsidP="00C67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7000" w:rsidRPr="00D34988" w:rsidRDefault="00C67000" w:rsidP="00C67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C67000" w:rsidRPr="00D34988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C67000" w:rsidRPr="00D34988" w:rsidRDefault="00C670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C67000" w:rsidRPr="00D34988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C67000" w:rsidRPr="00D34988" w:rsidRDefault="00C670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GS2</w:t>
            </w:r>
            <w:r w:rsidR="006F0FA7">
              <w:rPr>
                <w:rFonts w:ascii="Times New Roman" w:hAnsi="Times New Roman" w:cs="Times New Roman"/>
                <w:sz w:val="24"/>
                <w:szCs w:val="24"/>
              </w:rPr>
              <w:t>1402</w:t>
            </w:r>
          </w:p>
        </w:tc>
      </w:tr>
      <w:tr w:rsidR="00C67000" w:rsidRPr="00D34988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C67000" w:rsidRDefault="00C670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6F0FA7" w:rsidRPr="00D34988" w:rsidRDefault="006F0FA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C67000" w:rsidRPr="00D34988" w:rsidTr="006F0FA7">
        <w:trPr>
          <w:gridAfter w:val="1"/>
          <w:wAfter w:w="8" w:type="dxa"/>
          <w:trHeight w:val="785"/>
        </w:trPr>
        <w:tc>
          <w:tcPr>
            <w:tcW w:w="1588" w:type="dxa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C67000" w:rsidRPr="00D34988" w:rsidRDefault="006F0FA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:rsidR="00C67000" w:rsidRPr="00D34988" w:rsidRDefault="006F0FA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67000" w:rsidRPr="00D34988">
              <w:rPr>
                <w:rFonts w:ascii="Times New Roman" w:hAnsi="Times New Roman" w:cs="Times New Roman"/>
                <w:sz w:val="24"/>
                <w:szCs w:val="24"/>
              </w:rPr>
              <w:t>rabajo Autónomo</w:t>
            </w:r>
          </w:p>
        </w:tc>
        <w:tc>
          <w:tcPr>
            <w:tcW w:w="425" w:type="dxa"/>
          </w:tcPr>
          <w:p w:rsidR="00C67000" w:rsidRPr="00D34988" w:rsidRDefault="006F0FA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67000" w:rsidRPr="00D34988" w:rsidTr="0098605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000" w:rsidRPr="00D34988" w:rsidTr="00986053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C67000" w:rsidRPr="00D34988" w:rsidRDefault="00C67000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C67000" w:rsidRPr="00D34988" w:rsidRDefault="00C67000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C67000" w:rsidRPr="00D34988" w:rsidRDefault="00C67000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000" w:rsidRPr="00D34988" w:rsidRDefault="00C67000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000" w:rsidRPr="00D34988" w:rsidRDefault="00C67000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000" w:rsidRPr="00D34988" w:rsidRDefault="00C6700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FA7" w:rsidRPr="00D34988" w:rsidTr="00875807">
        <w:trPr>
          <w:gridAfter w:val="1"/>
          <w:wAfter w:w="8" w:type="dxa"/>
          <w:trHeight w:val="342"/>
        </w:trPr>
        <w:tc>
          <w:tcPr>
            <w:tcW w:w="10349" w:type="dxa"/>
            <w:gridSpan w:val="15"/>
            <w:tcBorders>
              <w:right w:val="single" w:sz="4" w:space="0" w:color="auto"/>
            </w:tcBorders>
          </w:tcPr>
          <w:p w:rsidR="006F0FA7" w:rsidRPr="00D34988" w:rsidRDefault="006F0FA7" w:rsidP="006F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000" w:rsidRPr="00D34988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DB4C5C" w:rsidRPr="007B71BD" w:rsidRDefault="00DB4C5C" w:rsidP="00A073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Asignatura de carácter teórico,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que el estudiante </w:t>
            </w:r>
            <w:r w:rsidR="00FD6088">
              <w:rPr>
                <w:rFonts w:ascii="Times New Roman" w:hAnsi="Times New Roman" w:cs="Times New Roman"/>
                <w:sz w:val="24"/>
                <w:szCs w:val="24"/>
              </w:rPr>
              <w:t>profundizará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6088">
              <w:rPr>
                <w:rFonts w:ascii="Times New Roman" w:hAnsi="Times New Roman" w:cs="Times New Roman"/>
                <w:sz w:val="24"/>
                <w:szCs w:val="24"/>
              </w:rPr>
              <w:t xml:space="preserve">en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fundamentos </w:t>
            </w:r>
            <w:r w:rsidR="00FD6088">
              <w:rPr>
                <w:rFonts w:ascii="Times New Roman" w:hAnsi="Times New Roman" w:cs="Times New Roman"/>
                <w:sz w:val="24"/>
                <w:szCs w:val="24"/>
              </w:rPr>
              <w:t>y conceptos de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estión </w:t>
            </w:r>
            <w:r w:rsidR="00FD6088">
              <w:rPr>
                <w:rFonts w:ascii="Times New Roman" w:hAnsi="Times New Roman" w:cs="Times New Roman"/>
                <w:sz w:val="24"/>
                <w:szCs w:val="24"/>
              </w:rPr>
              <w:t xml:space="preserve">y administración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sanitaria</w:t>
            </w:r>
            <w:r w:rsidR="007B71B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ella el estudiante deberá ejercitar competencias genéricas como el compromiso con la calidad, el trabajo en equipo, la comunicación efectiva y el liderazgo, como también deberá desarrollar otras propias de la asignatura que le permitan </w:t>
            </w:r>
            <w:r w:rsidR="00FD6088">
              <w:rPr>
                <w:rFonts w:ascii="Times New Roman" w:hAnsi="Times New Roman" w:cs="Times New Roman"/>
                <w:sz w:val="24"/>
                <w:szCs w:val="24"/>
              </w:rPr>
              <w:t xml:space="preserve">reconocer la relevancia de la </w:t>
            </w:r>
            <w:r w:rsidR="00270DAB">
              <w:rPr>
                <w:rFonts w:ascii="Times New Roman" w:hAnsi="Times New Roman" w:cs="Times New Roman"/>
                <w:sz w:val="24"/>
                <w:szCs w:val="24"/>
              </w:rPr>
              <w:t xml:space="preserve">Gestión de la </w:t>
            </w:r>
            <w:proofErr w:type="spellStart"/>
            <w:r w:rsidR="00270DAB">
              <w:rPr>
                <w:rFonts w:ascii="Times New Roman" w:hAnsi="Times New Roman" w:cs="Times New Roman"/>
                <w:sz w:val="24"/>
                <w:szCs w:val="24"/>
              </w:rPr>
              <w:t>matroneria</w:t>
            </w:r>
            <w:proofErr w:type="spellEnd"/>
            <w:r w:rsidR="00270DAB">
              <w:rPr>
                <w:rFonts w:ascii="Times New Roman" w:hAnsi="Times New Roman" w:cs="Times New Roman"/>
                <w:sz w:val="24"/>
                <w:szCs w:val="24"/>
              </w:rPr>
              <w:t xml:space="preserve">  y el aporte de esta a las políticas sanitarias actuales </w:t>
            </w:r>
            <w:r w:rsidR="007B71BD">
              <w:rPr>
                <w:rFonts w:ascii="Times New Roman" w:hAnsi="Times New Roman" w:cs="Times New Roman"/>
                <w:sz w:val="24"/>
                <w:szCs w:val="24"/>
              </w:rPr>
              <w:t xml:space="preserve">en Chile. El estudiante reconocerá elementos de la gestión propios de su disciplina y de la gestión en Salud propiamente tal, con el fin de que pueda prepararse para la elaboración de un proyecto de gestión, que se solicita en el noveno semestre de estudios.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cobra vital </w:t>
            </w:r>
            <w:r w:rsidR="007B71BD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actualidad, puesto que la Gestión como campo de acción de los profesionales de salud es altamente demandada y requerida por los emplea</w:t>
            </w:r>
            <w:r w:rsidR="007B71BD">
              <w:rPr>
                <w:rFonts w:ascii="Times New Roman" w:hAnsi="Times New Roman" w:cs="Times New Roman"/>
                <w:sz w:val="24"/>
                <w:szCs w:val="24"/>
              </w:rPr>
              <w:t xml:space="preserve">dores, la comunidad en general y sociedad para el mejoramiento de los resultados sanitarios. </w:t>
            </w:r>
          </w:p>
          <w:p w:rsidR="00C67000" w:rsidRPr="006F0FA7" w:rsidRDefault="00C67000" w:rsidP="0098605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0F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C67000" w:rsidRPr="00D34988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C67000" w:rsidRPr="00D34988" w:rsidRDefault="00C6700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C67000" w:rsidRPr="006F0FA7" w:rsidRDefault="00C67000" w:rsidP="0098605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67000" w:rsidRPr="007B71BD" w:rsidRDefault="007B71BD" w:rsidP="007B71B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1BD">
              <w:rPr>
                <w:rFonts w:ascii="Times New Roman" w:hAnsi="Times New Roman" w:cs="Times New Roman"/>
                <w:sz w:val="24"/>
                <w:szCs w:val="24"/>
              </w:rPr>
              <w:t xml:space="preserve">Gestión en salud </w:t>
            </w:r>
            <w:r w:rsidR="00C67000" w:rsidRPr="007B71B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:rsidR="00C67000" w:rsidRPr="006F0FA7" w:rsidRDefault="00C67000" w:rsidP="009860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67000" w:rsidRPr="006F0FA7" w:rsidRDefault="00C67000" w:rsidP="009860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C67000" w:rsidRPr="00D34988" w:rsidRDefault="00C67000" w:rsidP="00C6700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7000" w:rsidRPr="00D34988" w:rsidRDefault="00C67000" w:rsidP="00C6700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7000" w:rsidRPr="00D34988" w:rsidRDefault="00C67000" w:rsidP="00C67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4988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67000" w:rsidRPr="00D34988" w:rsidTr="00986053">
        <w:tc>
          <w:tcPr>
            <w:tcW w:w="9214" w:type="dxa"/>
          </w:tcPr>
          <w:p w:rsidR="00867E2A" w:rsidRDefault="00867E2A" w:rsidP="00867E2A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 egreso de la Matrona y Matrón de la Universidad de Atacama,  en las áreas de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Investigación. Aportando al desarrollo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867E2A" w:rsidRDefault="00867E2A" w:rsidP="007B71BD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71BD" w:rsidRDefault="007B71BD" w:rsidP="007B71BD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7B71BD" w:rsidRDefault="007B71BD" w:rsidP="007B71BD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71BD" w:rsidRPr="006C5AD3" w:rsidRDefault="007B71BD" w:rsidP="007B71BD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Compromiso con la calidad.</w:t>
            </w:r>
          </w:p>
          <w:p w:rsidR="007B71BD" w:rsidRDefault="007B71BD" w:rsidP="007B71BD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aplicar innovadorament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el conocimiento a la práctica.</w:t>
            </w:r>
          </w:p>
          <w:p w:rsidR="007B71BD" w:rsidRDefault="007B71BD" w:rsidP="007B71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71BD" w:rsidRDefault="007B71BD" w:rsidP="007B71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448">
              <w:rPr>
                <w:rFonts w:ascii="Times New Roman" w:hAnsi="Times New Roman" w:cs="Times New Roman"/>
                <w:sz w:val="24"/>
                <w:szCs w:val="24"/>
              </w:rPr>
              <w:t>Competencias Específicas:</w:t>
            </w:r>
          </w:p>
          <w:p w:rsidR="007B71BD" w:rsidRPr="000F0448" w:rsidRDefault="007B71BD" w:rsidP="007B71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71BD" w:rsidRDefault="007B71BD" w:rsidP="007B71BD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7B71BD" w:rsidRPr="009439A3" w:rsidRDefault="007B71BD" w:rsidP="007B71BD">
            <w:pPr>
              <w:pStyle w:val="Normal1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7B71BD" w:rsidRPr="006C5AD3" w:rsidRDefault="007B71BD" w:rsidP="007B71BD">
            <w:pPr>
              <w:pStyle w:val="Normal1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B71BD" w:rsidRPr="006C5AD3" w:rsidRDefault="007B71BD" w:rsidP="007B71BD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Investigación.</w:t>
            </w:r>
          </w:p>
          <w:p w:rsidR="007B71BD" w:rsidRDefault="007B71BD" w:rsidP="007B71B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ACB">
              <w:rPr>
                <w:rFonts w:ascii="Times New Roman" w:hAnsi="Times New Roman" w:cs="Times New Roman"/>
                <w:sz w:val="24"/>
                <w:szCs w:val="24"/>
              </w:rPr>
              <w:t>Participar en el diseño y aplicación de proyectos de investigación en salud, aportando al desarrollo del conocimiento científico y de  la disciplina.</w:t>
            </w:r>
          </w:p>
          <w:p w:rsidR="00C67000" w:rsidRPr="00867E2A" w:rsidRDefault="00C67000" w:rsidP="00867E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000" w:rsidRPr="00D34988" w:rsidRDefault="00C67000" w:rsidP="00C6700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7000" w:rsidRPr="00D34988" w:rsidRDefault="00C67000" w:rsidP="00C67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4988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C67000" w:rsidRPr="00D34988" w:rsidTr="00986053">
        <w:tc>
          <w:tcPr>
            <w:tcW w:w="9214" w:type="dxa"/>
            <w:gridSpan w:val="3"/>
          </w:tcPr>
          <w:p w:rsidR="00F455F0" w:rsidRPr="00091BC3" w:rsidRDefault="00F455F0" w:rsidP="00F45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E84">
              <w:rPr>
                <w:rFonts w:ascii="Times New Roman" w:hAnsi="Times New Roman" w:cs="Times New Roman"/>
                <w:sz w:val="24"/>
                <w:szCs w:val="24"/>
              </w:rPr>
              <w:t>Al finalizar la asignatura el alumno será capaz de:</w:t>
            </w:r>
          </w:p>
          <w:p w:rsidR="00F455F0" w:rsidRPr="0081608F" w:rsidRDefault="00F455F0" w:rsidP="00F455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Comprender la relevancia de la gestión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Matronería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desarrollo actual de las instituciones de salud.</w:t>
            </w:r>
          </w:p>
          <w:p w:rsidR="00F455F0" w:rsidRDefault="00F455F0" w:rsidP="00F455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Reconocer la gestión de la calidad como una herramienta de mejora de los procesos individuales, grupales y colectivos.</w:t>
            </w:r>
          </w:p>
          <w:p w:rsidR="00F455F0" w:rsidRPr="00200362" w:rsidRDefault="00F455F0" w:rsidP="0020036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Comprender </w:t>
            </w: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metodologías y procedimientos pertinentes a la 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Matronería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los contextos de los modelos de salud actuales.</w:t>
            </w:r>
          </w:p>
          <w:p w:rsidR="00200362" w:rsidRPr="00200362" w:rsidRDefault="00200362" w:rsidP="0020036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362">
              <w:rPr>
                <w:rFonts w:ascii="Times New Roman" w:hAnsi="Times New Roman" w:cs="Times New Roman"/>
                <w:sz w:val="24"/>
                <w:szCs w:val="24"/>
              </w:rPr>
              <w:t xml:space="preserve">Conocer los aspectos fundamentales de la acreditación </w:t>
            </w:r>
            <w:r w:rsidR="00723E8D">
              <w:rPr>
                <w:rFonts w:ascii="Times New Roman" w:hAnsi="Times New Roman" w:cs="Times New Roman"/>
                <w:sz w:val="24"/>
                <w:szCs w:val="24"/>
              </w:rPr>
              <w:t>de las instituciones de salud.</w:t>
            </w:r>
          </w:p>
          <w:p w:rsidR="00200362" w:rsidRDefault="00F455F0" w:rsidP="0020036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Desarrollar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planes y </w:t>
            </w:r>
            <w:r w:rsidRPr="00DE07D8">
              <w:rPr>
                <w:rFonts w:ascii="Times New Roman" w:hAnsi="Times New Roman" w:cs="Times New Roman"/>
                <w:sz w:val="24"/>
                <w:szCs w:val="24"/>
              </w:rPr>
              <w:t xml:space="preserve">programas de trabajo desde la planificación, organización, administración de recursos en el campo laboral de la </w:t>
            </w:r>
            <w:proofErr w:type="spellStart"/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matronería</w:t>
            </w:r>
            <w:proofErr w:type="spellEnd"/>
            <w:r w:rsidRPr="00DE07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55F0" w:rsidRPr="00D01138" w:rsidRDefault="00F455F0" w:rsidP="00F455F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138">
              <w:rPr>
                <w:rFonts w:ascii="Times New Roman" w:hAnsi="Times New Roman" w:cs="Times New Roman"/>
                <w:sz w:val="24"/>
                <w:szCs w:val="24"/>
              </w:rPr>
              <w:t>Valora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01138">
              <w:rPr>
                <w:rFonts w:ascii="Times New Roman" w:hAnsi="Times New Roman" w:cs="Times New Roman"/>
                <w:sz w:val="24"/>
                <w:szCs w:val="24"/>
              </w:rPr>
              <w:t xml:space="preserve"> el trabajo en equipo y el liderazgo compartido para el logro de compromisos, metas e indicadores en salud.</w:t>
            </w:r>
          </w:p>
          <w:p w:rsidR="00C67000" w:rsidRDefault="00C67000" w:rsidP="00723E8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37AE1" w:rsidRDefault="00937AE1" w:rsidP="00723E8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37AE1" w:rsidRPr="00723E8D" w:rsidRDefault="00937AE1" w:rsidP="00723E8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67000" w:rsidRPr="00D34988" w:rsidTr="00986053">
        <w:tc>
          <w:tcPr>
            <w:tcW w:w="3828" w:type="dxa"/>
          </w:tcPr>
          <w:p w:rsidR="00C67000" w:rsidRPr="00D34988" w:rsidRDefault="00C6700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C67000" w:rsidRPr="00D34988" w:rsidRDefault="00C67000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C67000" w:rsidRPr="00D34988" w:rsidRDefault="00C6700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988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C67000" w:rsidRPr="00D34988" w:rsidTr="00986053">
        <w:trPr>
          <w:trHeight w:val="344"/>
        </w:trPr>
        <w:tc>
          <w:tcPr>
            <w:tcW w:w="3828" w:type="dxa"/>
          </w:tcPr>
          <w:p w:rsidR="00C67000" w:rsidRDefault="00C1767C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1. Gestión </w:t>
            </w:r>
            <w:r w:rsidR="000351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Clínica y por procesos.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A073B8" w:rsidRDefault="00A073B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A073B8" w:rsidRPr="00A073B8" w:rsidRDefault="00A073B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3B8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B5240C" w:rsidRDefault="00B5240C" w:rsidP="00B5240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40C">
              <w:rPr>
                <w:rFonts w:ascii="Times New Roman" w:hAnsi="Times New Roman" w:cs="Times New Roman"/>
                <w:sz w:val="24"/>
                <w:szCs w:val="24"/>
              </w:rPr>
              <w:t>Gestión por procesos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25D7" w:rsidRPr="00B5240C" w:rsidRDefault="001325D7" w:rsidP="00B5240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Gestión clínica en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Matronería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240C" w:rsidRDefault="00B5240C" w:rsidP="00B5240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40C">
              <w:rPr>
                <w:rFonts w:ascii="Times New Roman" w:hAnsi="Times New Roman" w:cs="Times New Roman"/>
                <w:sz w:val="24"/>
                <w:szCs w:val="24"/>
              </w:rPr>
              <w:t>Gestión en red en instituciones de salud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416D7" w:rsidRDefault="00B416D7" w:rsidP="00B416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D7" w:rsidRPr="00B416D7" w:rsidRDefault="00B416D7" w:rsidP="00B416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7AE1" w:rsidRPr="00A073B8" w:rsidRDefault="00937AE1" w:rsidP="00A073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C67000" w:rsidRPr="000C0CBF" w:rsidRDefault="00C6700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C67000" w:rsidRDefault="00937AE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 el estudiante:</w:t>
            </w:r>
          </w:p>
          <w:p w:rsidR="00B5240C" w:rsidRDefault="00B5240C" w:rsidP="00B524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40C" w:rsidRDefault="00C1767C" w:rsidP="00B5240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 detalladamente los elementos de la gestión por procesos en las instituciones de Salud.</w:t>
            </w:r>
          </w:p>
          <w:p w:rsidR="00C1767C" w:rsidRDefault="001325D7" w:rsidP="00B5240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 detalladamente</w:t>
            </w:r>
            <w:r w:rsidR="00BA3E22">
              <w:rPr>
                <w:rFonts w:ascii="Times New Roman" w:hAnsi="Times New Roman" w:cs="Times New Roman"/>
                <w:sz w:val="24"/>
                <w:szCs w:val="24"/>
              </w:rPr>
              <w:t xml:space="preserve"> los elementos de la 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clínica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matronería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25D7" w:rsidRPr="00B5240C" w:rsidRDefault="00B416D7" w:rsidP="00B5240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los elementos </w:t>
            </w:r>
            <w:r w:rsidR="00A073B8">
              <w:rPr>
                <w:rFonts w:ascii="Times New Roman" w:hAnsi="Times New Roman" w:cs="Times New Roman"/>
                <w:sz w:val="24"/>
                <w:szCs w:val="24"/>
              </w:rPr>
              <w:t>de gestión de la red en las instituciones de salud.</w:t>
            </w:r>
          </w:p>
          <w:p w:rsidR="00937AE1" w:rsidRPr="000C0CBF" w:rsidRDefault="00937AE1" w:rsidP="00A073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E8D" w:rsidRPr="00D34988" w:rsidTr="00986053">
        <w:trPr>
          <w:trHeight w:val="344"/>
        </w:trPr>
        <w:tc>
          <w:tcPr>
            <w:tcW w:w="3828" w:type="dxa"/>
          </w:tcPr>
          <w:p w:rsidR="00723E8D" w:rsidRDefault="00A073B8" w:rsidP="0003707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073B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2. Gestión de la Calidad en Instituciones de Salud.</w:t>
            </w:r>
          </w:p>
          <w:p w:rsidR="00035118" w:rsidRDefault="00035118" w:rsidP="0003707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35118" w:rsidRPr="00035118" w:rsidRDefault="00035118" w:rsidP="0003707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118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723E8D" w:rsidRPr="00035118" w:rsidRDefault="00F700C3" w:rsidP="001361B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118">
              <w:rPr>
                <w:rFonts w:ascii="Times New Roman" w:hAnsi="Times New Roman" w:cs="Times New Roman"/>
                <w:sz w:val="24"/>
                <w:szCs w:val="24"/>
              </w:rPr>
              <w:t>Conceptos y dimensiones de la calidad.</w:t>
            </w:r>
          </w:p>
          <w:p w:rsidR="00F700C3" w:rsidRPr="00035118" w:rsidRDefault="00CD1018" w:rsidP="001361B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118">
              <w:rPr>
                <w:rFonts w:ascii="Times New Roman" w:hAnsi="Times New Roman" w:cs="Times New Roman"/>
                <w:sz w:val="24"/>
                <w:szCs w:val="24"/>
              </w:rPr>
              <w:t>Elementos de la mejora continúa en salud.</w:t>
            </w:r>
          </w:p>
          <w:p w:rsidR="00CD1018" w:rsidRPr="00035118" w:rsidRDefault="00CD1018" w:rsidP="001361B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118">
              <w:rPr>
                <w:rFonts w:ascii="Times New Roman" w:hAnsi="Times New Roman" w:cs="Times New Roman"/>
                <w:sz w:val="24"/>
                <w:szCs w:val="24"/>
              </w:rPr>
              <w:t>Calidad y acreditación en salud.</w:t>
            </w:r>
          </w:p>
          <w:p w:rsidR="00CD1018" w:rsidRPr="00D2480D" w:rsidRDefault="00CD1018" w:rsidP="00D2480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118">
              <w:rPr>
                <w:rFonts w:ascii="Times New Roman" w:hAnsi="Times New Roman" w:cs="Times New Roman"/>
                <w:sz w:val="24"/>
                <w:szCs w:val="24"/>
              </w:rPr>
              <w:t>Normas y modelos de la calidad en Salud.</w:t>
            </w:r>
          </w:p>
          <w:p w:rsidR="00537023" w:rsidRDefault="00537023" w:rsidP="001361B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Indicadores e instrumentos de evaluación de la calidad.</w:t>
            </w:r>
          </w:p>
          <w:p w:rsidR="00723E8D" w:rsidRPr="000C0CBF" w:rsidRDefault="00723E8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E8D" w:rsidRPr="000C0CBF" w:rsidRDefault="00723E8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F700C3" w:rsidRDefault="00F700C3" w:rsidP="00F700C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 el estudiante:</w:t>
            </w:r>
          </w:p>
          <w:p w:rsidR="00F700C3" w:rsidRDefault="00F700C3" w:rsidP="009C6F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00C3" w:rsidRDefault="00210DDF" w:rsidP="009C6F8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Explica </w:t>
            </w:r>
            <w:r w:rsidR="00670002">
              <w:rPr>
                <w:rFonts w:ascii="Times New Roman" w:hAnsi="Times New Roman" w:cs="Times New Roman"/>
                <w:sz w:val="24"/>
                <w:szCs w:val="24"/>
              </w:rPr>
              <w:t>los conceptos y dimensiones de calidad.</w:t>
            </w:r>
          </w:p>
          <w:p w:rsidR="00210DDF" w:rsidRPr="00035118" w:rsidRDefault="00210DDF" w:rsidP="00210DD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los e</w:t>
            </w:r>
            <w:r w:rsidRPr="00035118">
              <w:rPr>
                <w:rFonts w:ascii="Times New Roman" w:hAnsi="Times New Roman" w:cs="Times New Roman"/>
                <w:sz w:val="24"/>
                <w:szCs w:val="24"/>
              </w:rPr>
              <w:t>lementos de la mejora continua en salud.</w:t>
            </w:r>
          </w:p>
          <w:p w:rsidR="00210DDF" w:rsidRDefault="007F2C85" w:rsidP="009C6F8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Aplica </w:t>
            </w:r>
            <w:r w:rsidR="00540FDB">
              <w:rPr>
                <w:rFonts w:ascii="Times New Roman" w:hAnsi="Times New Roman" w:cs="Times New Roman"/>
                <w:sz w:val="24"/>
                <w:szCs w:val="24"/>
              </w:rPr>
              <w:t>los elemento</w:t>
            </w:r>
            <w:r w:rsidR="00235B87">
              <w:rPr>
                <w:rFonts w:ascii="Times New Roman" w:hAnsi="Times New Roman" w:cs="Times New Roman"/>
                <w:sz w:val="24"/>
                <w:szCs w:val="24"/>
              </w:rPr>
              <w:t>s de la calidad y mejora continua</w:t>
            </w:r>
            <w:r w:rsidR="00540FDB">
              <w:rPr>
                <w:rFonts w:ascii="Times New Roman" w:hAnsi="Times New Roman" w:cs="Times New Roman"/>
                <w:sz w:val="24"/>
                <w:szCs w:val="24"/>
              </w:rPr>
              <w:t xml:space="preserve"> en ejercicios </w:t>
            </w:r>
            <w:r w:rsidR="007E4430">
              <w:rPr>
                <w:rFonts w:ascii="Times New Roman" w:hAnsi="Times New Roman" w:cs="Times New Roman"/>
                <w:sz w:val="24"/>
                <w:szCs w:val="24"/>
              </w:rPr>
              <w:t>en aula.</w:t>
            </w:r>
          </w:p>
          <w:p w:rsidR="00476738" w:rsidRDefault="00235B87" w:rsidP="009C6F8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476738">
              <w:rPr>
                <w:rFonts w:ascii="Times New Roman" w:hAnsi="Times New Roman" w:cs="Times New Roman"/>
                <w:sz w:val="24"/>
                <w:szCs w:val="24"/>
              </w:rPr>
              <w:t xml:space="preserve"> las características de los procesos de acreditación en instituciones de salud.</w:t>
            </w:r>
          </w:p>
          <w:p w:rsidR="007E4430" w:rsidRDefault="00476738" w:rsidP="0005219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los fundamentos de la acreditación en instituciones de salud.</w:t>
            </w:r>
          </w:p>
          <w:p w:rsidR="0005219F" w:rsidRDefault="005304E7" w:rsidP="0005219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los modelos de gestión de la calidad utilizados en Chile.</w:t>
            </w:r>
          </w:p>
          <w:p w:rsidR="005304E7" w:rsidRPr="0005219F" w:rsidRDefault="00D2480D" w:rsidP="0005219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Propone  indicadores e instrumentos de evaluación de la calidad.</w:t>
            </w:r>
          </w:p>
          <w:p w:rsidR="00723E8D" w:rsidRPr="000C0CBF" w:rsidRDefault="00723E8D" w:rsidP="00D248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E8D" w:rsidRPr="00D34988" w:rsidTr="00986053">
        <w:trPr>
          <w:trHeight w:val="182"/>
        </w:trPr>
        <w:tc>
          <w:tcPr>
            <w:tcW w:w="3828" w:type="dxa"/>
          </w:tcPr>
          <w:p w:rsidR="00723E8D" w:rsidRPr="00035118" w:rsidRDefault="0003511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351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3. Elementos de Gestión Hospitalaria.</w:t>
            </w:r>
          </w:p>
          <w:p w:rsidR="00035118" w:rsidRDefault="0003511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AB3" w:rsidRDefault="00490AB3" w:rsidP="00490AB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118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F03A01" w:rsidRDefault="00AF076E" w:rsidP="00F03A0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Componentes de </w:t>
            </w:r>
            <w:r w:rsidR="00235B87">
              <w:rPr>
                <w:rFonts w:ascii="Times New Roman" w:hAnsi="Times New Roman" w:cs="Times New Roman"/>
                <w:sz w:val="24"/>
                <w:szCs w:val="24"/>
              </w:rPr>
              <w:t>Programación en Atención Hospitalaria.</w:t>
            </w:r>
          </w:p>
          <w:p w:rsidR="00F03A01" w:rsidRDefault="00F03A01" w:rsidP="00F03A0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A01">
              <w:rPr>
                <w:rFonts w:ascii="Times New Roman" w:hAnsi="Times New Roman" w:cs="Times New Roman"/>
                <w:sz w:val="24"/>
                <w:szCs w:val="24"/>
              </w:rPr>
              <w:t>Metodología de planificación y programación en red.</w:t>
            </w:r>
          </w:p>
          <w:p w:rsidR="00CD1018" w:rsidRDefault="00F03A01" w:rsidP="00F03A0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A01">
              <w:rPr>
                <w:rFonts w:ascii="Times New Roman" w:hAnsi="Times New Roman" w:cs="Times New Roman"/>
                <w:sz w:val="24"/>
                <w:szCs w:val="24"/>
              </w:rPr>
              <w:t xml:space="preserve">Proceso </w:t>
            </w:r>
            <w:r w:rsidR="00654F96">
              <w:rPr>
                <w:rFonts w:ascii="Times New Roman" w:hAnsi="Times New Roman" w:cs="Times New Roman"/>
                <w:sz w:val="24"/>
                <w:szCs w:val="24"/>
              </w:rPr>
              <w:t>de planificación y programación hospitalaria.</w:t>
            </w:r>
          </w:p>
          <w:p w:rsidR="00AF076E" w:rsidRPr="00F03A01" w:rsidRDefault="00AF076E" w:rsidP="00F03A0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Indicadores de programación hospitalaria.</w:t>
            </w:r>
          </w:p>
          <w:p w:rsidR="00CD1018" w:rsidRDefault="00CD101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AB3" w:rsidRPr="000C0CBF" w:rsidRDefault="00490AB3" w:rsidP="0085604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E8D" w:rsidRPr="000C0CBF" w:rsidRDefault="00723E8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23E8D" w:rsidRDefault="00F03A0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 el estudiante:</w:t>
            </w:r>
          </w:p>
          <w:p w:rsidR="00F03A01" w:rsidRDefault="00F03A0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3A01" w:rsidRDefault="002D0B79" w:rsidP="002D0B7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los elementos de programación en atención hospitalaria.</w:t>
            </w:r>
          </w:p>
          <w:p w:rsidR="002D0B79" w:rsidRDefault="00654F96" w:rsidP="002D0B7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la metodología de planificación y programación en red.</w:t>
            </w:r>
          </w:p>
          <w:p w:rsidR="00654F96" w:rsidRPr="002D0B79" w:rsidRDefault="00654F96" w:rsidP="002D0B7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Ejecuta en forma simulada proceso de planificación hospitalaria.</w:t>
            </w:r>
          </w:p>
          <w:p w:rsidR="00F03A01" w:rsidRDefault="00F03A0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3A01" w:rsidRPr="000C0CBF" w:rsidRDefault="00F03A0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118" w:rsidRPr="00D34988" w:rsidTr="00986053">
        <w:trPr>
          <w:trHeight w:val="182"/>
        </w:trPr>
        <w:tc>
          <w:tcPr>
            <w:tcW w:w="3828" w:type="dxa"/>
          </w:tcPr>
          <w:p w:rsidR="00035118" w:rsidRDefault="0003511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4. Elementos de Gestión en Atención Primaria.</w:t>
            </w:r>
          </w:p>
          <w:p w:rsidR="00490AB3" w:rsidRDefault="00490AB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90AB3" w:rsidRPr="00035118" w:rsidRDefault="00490AB3" w:rsidP="00490AB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118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AF076E" w:rsidRDefault="00AF076E" w:rsidP="00AF076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Componentes de Programación en Atención primaria.</w:t>
            </w:r>
          </w:p>
          <w:p w:rsidR="00AF076E" w:rsidRDefault="00AF076E" w:rsidP="00AF076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A01">
              <w:rPr>
                <w:rFonts w:ascii="Times New Roman" w:hAnsi="Times New Roman" w:cs="Times New Roman"/>
                <w:sz w:val="24"/>
                <w:szCs w:val="24"/>
              </w:rPr>
              <w:t>Metodología de planificación y programación en</w:t>
            </w:r>
            <w:r w:rsidR="00856045">
              <w:rPr>
                <w:rFonts w:ascii="Times New Roman" w:hAnsi="Times New Roman" w:cs="Times New Roman"/>
                <w:sz w:val="24"/>
                <w:szCs w:val="24"/>
              </w:rPr>
              <w:t xml:space="preserve"> Atención primaria.</w:t>
            </w:r>
          </w:p>
          <w:p w:rsidR="00AF076E" w:rsidRDefault="00AF076E" w:rsidP="00AF076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A01">
              <w:rPr>
                <w:rFonts w:ascii="Times New Roman" w:hAnsi="Times New Roman" w:cs="Times New Roman"/>
                <w:sz w:val="24"/>
                <w:szCs w:val="24"/>
              </w:rPr>
              <w:t xml:space="preserve">Proceso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planificación y programación </w:t>
            </w:r>
            <w:r w:rsidR="00856045">
              <w:rPr>
                <w:rFonts w:ascii="Times New Roman" w:hAnsi="Times New Roman" w:cs="Times New Roman"/>
                <w:sz w:val="24"/>
                <w:szCs w:val="24"/>
              </w:rPr>
              <w:t>en Atención primaria.</w:t>
            </w:r>
          </w:p>
          <w:p w:rsidR="00AF076E" w:rsidRPr="00F03A01" w:rsidRDefault="00AF076E" w:rsidP="00AF076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Indicadores de programación </w:t>
            </w:r>
            <w:r w:rsidR="00856045">
              <w:rPr>
                <w:rFonts w:ascii="Times New Roman" w:hAnsi="Times New Roman" w:cs="Times New Roman"/>
                <w:sz w:val="24"/>
                <w:szCs w:val="24"/>
              </w:rPr>
              <w:t>en Atención primaria.</w:t>
            </w:r>
          </w:p>
          <w:p w:rsidR="00490AB3" w:rsidRDefault="00490AB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35118" w:rsidRPr="00035118" w:rsidRDefault="0003511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035118" w:rsidRPr="000C0CBF" w:rsidRDefault="0003511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856045" w:rsidRDefault="00856045" w:rsidP="0085604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 el estudiante:</w:t>
            </w:r>
          </w:p>
          <w:p w:rsidR="00856045" w:rsidRDefault="00856045" w:rsidP="0085604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1017" w:rsidRDefault="00856045" w:rsidP="0085604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los elementos de programación </w:t>
            </w:r>
            <w:r w:rsidR="00E51017">
              <w:rPr>
                <w:rFonts w:ascii="Times New Roman" w:hAnsi="Times New Roman" w:cs="Times New Roman"/>
                <w:sz w:val="24"/>
                <w:szCs w:val="24"/>
              </w:rPr>
              <w:t>en Atención primaria.</w:t>
            </w:r>
          </w:p>
          <w:p w:rsidR="00856045" w:rsidRDefault="00856045" w:rsidP="0085604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la metodología de planificación y programación en</w:t>
            </w:r>
            <w:r w:rsidR="00E51017">
              <w:rPr>
                <w:rFonts w:ascii="Times New Roman" w:hAnsi="Times New Roman" w:cs="Times New Roman"/>
                <w:sz w:val="24"/>
                <w:szCs w:val="24"/>
              </w:rPr>
              <w:t xml:space="preserve"> Atención primaria.</w:t>
            </w:r>
          </w:p>
          <w:p w:rsidR="00856045" w:rsidRPr="002D0B79" w:rsidRDefault="00856045" w:rsidP="0085604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Ejecuta en forma simulada proceso de planificación </w:t>
            </w:r>
            <w:r w:rsidR="00E51017">
              <w:rPr>
                <w:rFonts w:ascii="Times New Roman" w:hAnsi="Times New Roman" w:cs="Times New Roman"/>
                <w:sz w:val="24"/>
                <w:szCs w:val="24"/>
              </w:rPr>
              <w:t>en Atención primaria.</w:t>
            </w:r>
          </w:p>
          <w:p w:rsidR="00856045" w:rsidRDefault="00856045" w:rsidP="0085604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118" w:rsidRPr="000C0CBF" w:rsidRDefault="0003511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118" w:rsidRPr="00D34988" w:rsidTr="00986053">
        <w:trPr>
          <w:trHeight w:val="182"/>
        </w:trPr>
        <w:tc>
          <w:tcPr>
            <w:tcW w:w="3828" w:type="dxa"/>
          </w:tcPr>
          <w:p w:rsidR="003B4EB2" w:rsidRDefault="00035118" w:rsidP="003B4EB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5. Proyectos de Gestión en Salud.</w:t>
            </w:r>
          </w:p>
          <w:p w:rsidR="003B4EB2" w:rsidRDefault="003B4EB2" w:rsidP="003B4EB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3B4EB2" w:rsidRPr="003B4EB2" w:rsidRDefault="003B4EB2" w:rsidP="003B4EB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EB2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3B4EB2" w:rsidRDefault="003B4EB2" w:rsidP="003B4EB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Metodología de análisis de problemas de intervención en salud</w:t>
            </w:r>
            <w:r w:rsidR="007514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140E" w:rsidRDefault="0075140E" w:rsidP="0075140E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Delimitación de finalidad e impacto de un proyecto.</w:t>
            </w:r>
          </w:p>
          <w:p w:rsidR="00670002" w:rsidRPr="0075140E" w:rsidRDefault="0075140E" w:rsidP="0075140E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0E">
              <w:rPr>
                <w:rFonts w:ascii="Times New Roman" w:hAnsi="Times New Roman" w:cs="Times New Roman"/>
                <w:sz w:val="24"/>
                <w:szCs w:val="24"/>
              </w:rPr>
              <w:t>Fundamentos de planificación de un proyecto.</w:t>
            </w:r>
          </w:p>
          <w:p w:rsidR="00670002" w:rsidRDefault="0067000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035118" w:rsidRPr="000C0CBF" w:rsidRDefault="0003511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5140E" w:rsidRDefault="0075140E" w:rsidP="0075140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 el estudiante:</w:t>
            </w:r>
          </w:p>
          <w:p w:rsidR="00035118" w:rsidRDefault="0003511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40E" w:rsidRDefault="0075140E" w:rsidP="0075140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 problemas de salud que pueden ser intervenidos a través de propuestas de los estudiantes.</w:t>
            </w:r>
          </w:p>
          <w:p w:rsidR="0075140E" w:rsidRDefault="0075140E" w:rsidP="0075140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Diseña propuesta de intervención de problemática en salud hasta el nivel de formulación de objetivos.</w:t>
            </w:r>
          </w:p>
          <w:p w:rsidR="0075140E" w:rsidRDefault="0075140E" w:rsidP="0075140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 la realización de una intervención en una problemática de salud.</w:t>
            </w:r>
          </w:p>
          <w:p w:rsidR="0075140E" w:rsidRDefault="0075140E" w:rsidP="0075140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metodología de planificación de una intervención en una problemática de salud.</w:t>
            </w:r>
          </w:p>
          <w:p w:rsidR="0075140E" w:rsidRPr="0075140E" w:rsidRDefault="0075140E" w:rsidP="00751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000" w:rsidRPr="00D34988" w:rsidRDefault="00C67000" w:rsidP="00C6700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7000" w:rsidRPr="00D34988" w:rsidRDefault="00C67000" w:rsidP="00C67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4988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67000" w:rsidRPr="00D34988" w:rsidTr="00986053">
        <w:tc>
          <w:tcPr>
            <w:tcW w:w="9214" w:type="dxa"/>
          </w:tcPr>
          <w:p w:rsidR="003B4EB2" w:rsidRDefault="003B4EB2" w:rsidP="003B4E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la asignatura de Gestión en Salud II se utilizarán las siguientes estrategias de aprendizaje:</w:t>
            </w:r>
          </w:p>
          <w:p w:rsidR="003B4EB2" w:rsidRDefault="003B4EB2" w:rsidP="003B4EB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EB2" w:rsidRDefault="003B4EB2" w:rsidP="003B4E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Clases expositivas y participativas.</w:t>
            </w:r>
          </w:p>
          <w:p w:rsidR="003B4EB2" w:rsidRPr="004E7802" w:rsidRDefault="003B4EB2" w:rsidP="003B4E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Análisis de casos de gestión.</w:t>
            </w:r>
          </w:p>
          <w:p w:rsidR="003B4EB2" w:rsidRPr="004E7802" w:rsidRDefault="003B4EB2" w:rsidP="003B4E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Trabajos y talleres grupos colaborativos.</w:t>
            </w:r>
          </w:p>
          <w:p w:rsidR="003B4EB2" w:rsidRPr="00C71630" w:rsidRDefault="003B4EB2" w:rsidP="003B4E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Revisiones Bibliográficas.</w:t>
            </w:r>
          </w:p>
          <w:p w:rsidR="003B4EB2" w:rsidRPr="004E7802" w:rsidRDefault="003B4EB2" w:rsidP="003B4E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Lecturas dirigidas individuales y grupales.</w:t>
            </w:r>
          </w:p>
          <w:p w:rsidR="003B4EB2" w:rsidRDefault="003B4EB2" w:rsidP="003B4E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Ejercicios de programación en atención primaria y hospitalaria</w:t>
            </w:r>
          </w:p>
          <w:p w:rsidR="003B4EB2" w:rsidRDefault="003B4EB2" w:rsidP="003B4EB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Análisis de programas y documentos de gestión en salud.</w:t>
            </w:r>
          </w:p>
          <w:p w:rsidR="00C67000" w:rsidRPr="003B4EB2" w:rsidRDefault="00C67000" w:rsidP="003B4EB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67000" w:rsidRPr="00D34988" w:rsidRDefault="00C67000" w:rsidP="00C6700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7000" w:rsidRPr="00D34988" w:rsidRDefault="00C67000" w:rsidP="00C67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4988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67000" w:rsidRPr="000C0CBF" w:rsidTr="00986053">
        <w:tc>
          <w:tcPr>
            <w:tcW w:w="9214" w:type="dxa"/>
          </w:tcPr>
          <w:p w:rsidR="000014E7" w:rsidRPr="004E7802" w:rsidRDefault="000014E7" w:rsidP="00DC28D9">
            <w:pPr>
              <w:pStyle w:val="Prrafodelista"/>
              <w:numPr>
                <w:ilvl w:val="0"/>
                <w:numId w:val="21"/>
              </w:num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0014E7" w:rsidRPr="00E75625" w:rsidRDefault="000014E7" w:rsidP="00DC28D9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E7" w:rsidRDefault="000014E7" w:rsidP="00DC28D9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actividad de d</w:t>
            </w: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iag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nóstico consiste en una prueba escrita para reconocer conceptos de administración y gestión, identificación de funciones y las etapas de la administración en salud.</w:t>
            </w:r>
          </w:p>
          <w:p w:rsidR="000014E7" w:rsidRDefault="000014E7" w:rsidP="00DC28D9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E7" w:rsidRDefault="000014E7" w:rsidP="00DC28D9">
            <w:pPr>
              <w:pStyle w:val="Prrafodelista"/>
              <w:numPr>
                <w:ilvl w:val="0"/>
                <w:numId w:val="21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0014E7" w:rsidRDefault="000014E7" w:rsidP="00DC28D9">
            <w:p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D53">
              <w:rPr>
                <w:rFonts w:ascii="Times New Roman" w:hAnsi="Times New Roman" w:cs="Times New Roman"/>
                <w:sz w:val="24"/>
                <w:szCs w:val="24"/>
              </w:rPr>
              <w:t>Se realizará evaluaciones formativas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durante el ejercicio de trabajo grupal colaborativo en aula, además de retroalimentación posterior a las actividades de 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14E7" w:rsidRPr="00E75625" w:rsidRDefault="000014E7" w:rsidP="00DC28D9">
            <w:pPr>
              <w:pStyle w:val="Prrafodelista"/>
              <w:numPr>
                <w:ilvl w:val="0"/>
                <w:numId w:val="21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0014E7" w:rsidRPr="0039278B" w:rsidRDefault="000014E7" w:rsidP="00DC28D9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E7" w:rsidRDefault="000014E7" w:rsidP="00DC28D9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014E7" w:rsidRDefault="000014E7" w:rsidP="00DC28D9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Ind w:w="5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687"/>
              <w:gridCol w:w="2885"/>
              <w:gridCol w:w="1651"/>
            </w:tblGrid>
            <w:tr w:rsidR="000014E7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2885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651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0014E7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85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I, II</w:t>
                  </w:r>
                </w:p>
              </w:tc>
              <w:tc>
                <w:tcPr>
                  <w:tcW w:w="1651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0014E7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85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0014E7" w:rsidRPr="00E03E4A" w:rsidRDefault="000014E7" w:rsidP="000014E7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III</w:t>
                  </w:r>
                </w:p>
              </w:tc>
              <w:tc>
                <w:tcPr>
                  <w:tcW w:w="1651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0014E7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885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0014E7" w:rsidRPr="00E03E4A" w:rsidRDefault="000014E7" w:rsidP="000014E7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IV</w:t>
                  </w:r>
                </w:p>
              </w:tc>
              <w:tc>
                <w:tcPr>
                  <w:tcW w:w="1651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0014E7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885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Trabajo Grupal Unidad V</w:t>
                  </w:r>
                </w:p>
              </w:tc>
              <w:tc>
                <w:tcPr>
                  <w:tcW w:w="1651" w:type="dxa"/>
                </w:tcPr>
                <w:p w:rsidR="000014E7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0014E7" w:rsidRPr="002C1DF3" w:rsidTr="00037073">
              <w:trPr>
                <w:jc w:val="center"/>
              </w:trPr>
              <w:tc>
                <w:tcPr>
                  <w:tcW w:w="1687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885" w:type="dxa"/>
                </w:tcPr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Talleres en aula</w:t>
                  </w:r>
                </w:p>
              </w:tc>
              <w:tc>
                <w:tcPr>
                  <w:tcW w:w="1651" w:type="dxa"/>
                </w:tcPr>
                <w:p w:rsidR="000014E7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  <w:p w:rsidR="000014E7" w:rsidRPr="00E03E4A" w:rsidRDefault="000014E7" w:rsidP="00037073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014E7" w:rsidRDefault="000014E7" w:rsidP="00DC28D9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E7" w:rsidRPr="004B6B32" w:rsidRDefault="000014E7" w:rsidP="00DC28D9">
            <w:pPr>
              <w:pStyle w:val="Prrafodelista"/>
              <w:numPr>
                <w:ilvl w:val="0"/>
                <w:numId w:val="22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nota de eximición corresponde a un 5.0.  </w:t>
            </w:r>
          </w:p>
          <w:p w:rsidR="000014E7" w:rsidRPr="004B6B32" w:rsidRDefault="000014E7" w:rsidP="000014E7">
            <w:pPr>
              <w:pStyle w:val="Prrafodelista"/>
              <w:ind w:left="2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E7" w:rsidRPr="004B6B32" w:rsidRDefault="000014E7" w:rsidP="00DC28D9">
            <w:pPr>
              <w:pStyle w:val="Prrafodelista"/>
              <w:numPr>
                <w:ilvl w:val="0"/>
                <w:numId w:val="22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exigencia para nota 4,0 será de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000014E7" w:rsidRPr="004B6B32" w:rsidRDefault="000014E7" w:rsidP="00DC28D9">
            <w:pPr>
              <w:pStyle w:val="Prrafodelista"/>
              <w:spacing w:beforeLines="60" w:afterLines="12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E7" w:rsidRDefault="000014E7" w:rsidP="00DC28D9">
            <w:pPr>
              <w:pStyle w:val="Prrafodelista"/>
              <w:numPr>
                <w:ilvl w:val="0"/>
                <w:numId w:val="22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 Nota de presentación a examen tendrá una ponderación del 60%, que se suma al 40% correspondiente a la nota del examen, para obtener finalmente la nota de aprobación de la asignatura, con una calificación igual o superior a 4.0</w:t>
            </w:r>
          </w:p>
          <w:p w:rsidR="000014E7" w:rsidRPr="001805F3" w:rsidRDefault="000014E7" w:rsidP="000014E7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6477" w:rsidRPr="000014E7" w:rsidRDefault="000014E7" w:rsidP="00DC28D9">
            <w:pPr>
              <w:pStyle w:val="Prrafodelista"/>
              <w:numPr>
                <w:ilvl w:val="0"/>
                <w:numId w:val="22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1805F3">
              <w:rPr>
                <w:rFonts w:ascii="Times New Roman" w:hAnsi="Times New Roman" w:cs="Times New Roman"/>
                <w:sz w:val="24"/>
                <w:szCs w:val="24"/>
              </w:rPr>
              <w:t xml:space="preserve">as condiciones de eliminación de asignatura y otros serán de acuerdo a la reglamentación </w:t>
            </w:r>
            <w:r w:rsidRPr="001805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vigente en el periodo académico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67000" w:rsidRPr="000C0CBF" w:rsidRDefault="00C67000" w:rsidP="00C67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CBF">
        <w:rPr>
          <w:rFonts w:ascii="Times New Roman" w:hAnsi="Times New Roman" w:cs="Times New Roman"/>
          <w:b/>
          <w:sz w:val="24"/>
          <w:szCs w:val="24"/>
        </w:rPr>
        <w:lastRenderedPageBreak/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67000" w:rsidRPr="000C0CBF" w:rsidTr="00986053">
        <w:tc>
          <w:tcPr>
            <w:tcW w:w="9214" w:type="dxa"/>
          </w:tcPr>
          <w:p w:rsidR="000014E7" w:rsidRPr="003B4FD2" w:rsidRDefault="000014E7" w:rsidP="000014E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FD2"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  <w:r w:rsidRPr="003B4FD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0014E7" w:rsidRDefault="000014E7" w:rsidP="000014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Cosialls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D. “</w:t>
            </w: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Gestión Clínica y Gerencial de Hospitales Servicios de Información”. Editorial Mediterráneo, año 2000.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Mompart-Tomey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A. “Administración y Gestión”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DAE. Madrid, año 2004.</w:t>
            </w:r>
          </w:p>
          <w:p w:rsidR="000014E7" w:rsidRDefault="000014E7" w:rsidP="000014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Gareth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R. Jones y otros. “Administración contemporánea”. Edit. McGraw-Hill. Sexta Edición, año 2010.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Lussier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Robert N. y otros. “Liderazgo: teoría, aplicación, desarrollo de habilidades”.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Thomson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, año 2002.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Martínez R. Armando. “Manual de gestión y mejora de procesos en los Servicios de Salud”. Editorial Manual Moderno 1era Edición, año 2005.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Marriner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Tomey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Ann. “Gestión y Dirección en Enfermería”.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Edt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Elsevier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España, año 2009.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Ministerio de Salud de Chile, Subsecretaría de Redes Asistenciales. “Orientaciones para el proceso de diseño de la red asistencial de los Servicios de Salud: planificación, implementación y evaluación”. Santiago de Chile año 2010.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Ministerio de Salud de Chile, Subsecretaría de Redes Asistenciales, División de Gestión de la red asistencial. “Modelo de atención integral en salud”. Serie Cuadernos Nº1. Santiago, Chile año 2005.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Ministerio de Salud de Chile, Subsecretaría de Redes Asistenciales. “Diseño del proceso clínico asistencial en la red pública de salud en Chile: proceso de atención ambulatoria en red”. Santiago, Chile año 2009.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Ministerio de Salud de Chile. “Modelo de gestión de establecimientos hospitalarios”. 1era edición. Santiago de Chile.</w:t>
            </w:r>
          </w:p>
          <w:p w:rsidR="000014E7" w:rsidRPr="000014E7" w:rsidRDefault="000014E7" w:rsidP="000014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15868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Motta G. (1996) “Manual sobre Tendencia Contemporáneas en la gestión de Salud”. OPS. OMS. Fundación WK.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Kellog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14E7" w:rsidRDefault="000014E7" w:rsidP="000014E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15868"/>
                <w:sz w:val="24"/>
                <w:szCs w:val="24"/>
              </w:rPr>
            </w:pPr>
          </w:p>
          <w:p w:rsidR="000014E7" w:rsidRPr="000014E7" w:rsidRDefault="000014E7" w:rsidP="000014E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4E7"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Chiavenato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I. "Introducción a la Teoría General de la Administración"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Mc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Graw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Hill. Año 1997.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Chiavenato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, I. "Administración de Recursos Humanos" Ed. Mc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Graw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Hill. Quinta Edición, año 2000.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Charles W. L. Hill/Jones. "Administración Estratégica un enfoque integrado” Ed. Mc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Graw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Hill. Sexta edición, año 2005.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Koontz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Harold,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Weihrich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Heinz. “Administración una perspectiva Global”. Ed. Mc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Graw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 Hill. 12va edición, año 2004.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Malik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 xml:space="preserve">, A.  “Manual de Recursos Humanos en Salud” OPS.OMS. Fundación WK </w:t>
            </w:r>
            <w:proofErr w:type="spellStart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Kellog</w:t>
            </w:r>
            <w:proofErr w:type="spellEnd"/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, año 1996.</w:t>
            </w:r>
          </w:p>
          <w:p w:rsidR="000014E7" w:rsidRPr="00DF323B" w:rsidRDefault="000014E7" w:rsidP="000014E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23B">
              <w:rPr>
                <w:rFonts w:ascii="Times New Roman" w:hAnsi="Times New Roman" w:cs="Times New Roman"/>
                <w:sz w:val="24"/>
                <w:szCs w:val="24"/>
              </w:rPr>
              <w:t>Ministerio de Salud de Chile. Metas 2011-2020. “Estrategia Nacional de Salud para el cumplimiento de los Objetivos Sanitarios de la Década”. 1era edición. Santiago de Chile, año 2011.</w:t>
            </w:r>
          </w:p>
          <w:p w:rsidR="000014E7" w:rsidRDefault="000014E7" w:rsidP="000014E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15868"/>
                <w:sz w:val="24"/>
                <w:szCs w:val="24"/>
              </w:rPr>
            </w:pPr>
          </w:p>
          <w:p w:rsidR="000014E7" w:rsidRPr="000014E7" w:rsidRDefault="000014E7" w:rsidP="000014E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15868"/>
                <w:sz w:val="24"/>
                <w:szCs w:val="24"/>
              </w:rPr>
            </w:pPr>
          </w:p>
          <w:p w:rsidR="000014E7" w:rsidRDefault="000014E7" w:rsidP="000014E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Recursos informáticos.</w:t>
            </w:r>
          </w:p>
          <w:p w:rsidR="000014E7" w:rsidRPr="009F00CE" w:rsidRDefault="000014E7" w:rsidP="000014E7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0CE"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0014E7" w:rsidRPr="009F00CE" w:rsidRDefault="000014E7" w:rsidP="000014E7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Planillas de cálculo de Excel.</w:t>
            </w:r>
          </w:p>
          <w:p w:rsidR="000014E7" w:rsidRPr="009F00CE" w:rsidRDefault="000014E7" w:rsidP="000014E7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0CE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proofErr w:type="spellStart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14E7" w:rsidRDefault="000014E7" w:rsidP="000014E7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Página web del Ministerio de Salud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14E7" w:rsidRPr="009F00CE" w:rsidRDefault="000014E7" w:rsidP="000014E7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Pagina web Superintendencia de Salud.</w:t>
            </w:r>
          </w:p>
          <w:p w:rsidR="000014E7" w:rsidRPr="0009520B" w:rsidRDefault="000014E7" w:rsidP="000014E7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0CE">
              <w:rPr>
                <w:rFonts w:ascii="Times New Roman" w:hAnsi="Times New Roman" w:cs="Times New Roman"/>
                <w:sz w:val="24"/>
                <w:szCs w:val="24"/>
              </w:rPr>
              <w:t>Páginas web de hospitales de Chile.</w:t>
            </w:r>
          </w:p>
          <w:p w:rsidR="000014E7" w:rsidRDefault="000014E7" w:rsidP="000014E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14E7" w:rsidRDefault="000014E7" w:rsidP="000014E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20B">
              <w:rPr>
                <w:rFonts w:ascii="Times New Roman" w:hAnsi="Times New Roman" w:cs="Times New Roman"/>
                <w:b/>
                <w:sz w:val="24"/>
                <w:szCs w:val="24"/>
              </w:rPr>
              <w:t>Otros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recursos.</w:t>
            </w:r>
          </w:p>
          <w:p w:rsidR="000014E7" w:rsidRDefault="000014E7" w:rsidP="000014E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7309">
              <w:rPr>
                <w:rFonts w:ascii="Times New Roman" w:hAnsi="Times New Roman" w:cs="Times New Roman"/>
                <w:sz w:val="24"/>
                <w:szCs w:val="24"/>
              </w:rPr>
              <w:t>Guías de trabajo autónomo, grupal e individual.</w:t>
            </w:r>
          </w:p>
          <w:p w:rsidR="00CD1018" w:rsidRPr="000014E7" w:rsidRDefault="000014E7" w:rsidP="000014E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Programas de salud.</w:t>
            </w:r>
          </w:p>
          <w:p w:rsidR="00CD1018" w:rsidRDefault="00CD101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1018" w:rsidRPr="000C0CBF" w:rsidRDefault="00CD101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67000" w:rsidRDefault="00C67000" w:rsidP="00C67000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C67000" w:rsidRDefault="00C67000" w:rsidP="00C67000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C67000" w:rsidRDefault="00C67000" w:rsidP="00C67000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D20D45" w:rsidRDefault="00867E2A"/>
    <w:sectPr w:rsidR="00D20D45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000" w:rsidRDefault="00C67000" w:rsidP="00C67000">
      <w:pPr>
        <w:spacing w:after="0" w:line="240" w:lineRule="auto"/>
      </w:pPr>
      <w:r>
        <w:separator/>
      </w:r>
    </w:p>
  </w:endnote>
  <w:endnote w:type="continuationSeparator" w:id="0">
    <w:p w:rsidR="00C67000" w:rsidRDefault="00C67000" w:rsidP="00C6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000" w:rsidRDefault="00C67000" w:rsidP="00C67000">
      <w:pPr>
        <w:spacing w:after="0" w:line="240" w:lineRule="auto"/>
      </w:pPr>
      <w:r>
        <w:separator/>
      </w:r>
    </w:p>
  </w:footnote>
  <w:footnote w:type="continuationSeparator" w:id="0">
    <w:p w:rsidR="00C67000" w:rsidRDefault="00C67000" w:rsidP="00C6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C67000" w:rsidTr="00986053">
      <w:trPr>
        <w:jc w:val="center"/>
      </w:trPr>
      <w:tc>
        <w:tcPr>
          <w:tcW w:w="2023" w:type="dxa"/>
        </w:tcPr>
        <w:p w:rsidR="00C67000" w:rsidRDefault="00C67000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5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C67000" w:rsidRDefault="00C6700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C67000" w:rsidRPr="00607538" w:rsidRDefault="00DC28D9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C67000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C67000" w:rsidRPr="00607538" w:rsidRDefault="00C6700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C67000" w:rsidRPr="00607538" w:rsidRDefault="00C6700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C67000" w:rsidRPr="00607538" w:rsidRDefault="00C6700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C67000" w:rsidRDefault="00C67000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52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67000" w:rsidRDefault="00C6700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27C"/>
    <w:multiLevelType w:val="hybridMultilevel"/>
    <w:tmpl w:val="E70AF48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432B8B"/>
    <w:multiLevelType w:val="hybridMultilevel"/>
    <w:tmpl w:val="5D8E699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38711A"/>
    <w:multiLevelType w:val="hybridMultilevel"/>
    <w:tmpl w:val="888A754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C15F81"/>
    <w:multiLevelType w:val="hybridMultilevel"/>
    <w:tmpl w:val="5E148DD2"/>
    <w:lvl w:ilvl="0" w:tplc="D88038F2">
      <w:numFmt w:val="bullet"/>
      <w:lvlText w:val="•"/>
      <w:lvlJc w:val="left"/>
      <w:pPr>
        <w:ind w:left="1429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804C9F"/>
    <w:multiLevelType w:val="hybridMultilevel"/>
    <w:tmpl w:val="659A2F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5431F"/>
    <w:multiLevelType w:val="hybridMultilevel"/>
    <w:tmpl w:val="7564D8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7E59E0"/>
    <w:multiLevelType w:val="hybridMultilevel"/>
    <w:tmpl w:val="6604454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1B856782"/>
    <w:multiLevelType w:val="hybridMultilevel"/>
    <w:tmpl w:val="E7CAEF7E"/>
    <w:lvl w:ilvl="0" w:tplc="3A0AFBB8">
      <w:start w:val="1"/>
      <w:numFmt w:val="decimal"/>
      <w:lvlText w:val="%1."/>
      <w:lvlJc w:val="left"/>
      <w:pPr>
        <w:ind w:left="252" w:hanging="360"/>
      </w:pPr>
      <w:rPr>
        <w:rFonts w:hint="default"/>
        <w:b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1B8A2684"/>
    <w:multiLevelType w:val="hybridMultilevel"/>
    <w:tmpl w:val="6BD8B1A0"/>
    <w:lvl w:ilvl="0" w:tplc="59A8EB10">
      <w:start w:val="16"/>
      <w:numFmt w:val="bullet"/>
      <w:lvlText w:val="•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9">
    <w:nsid w:val="1CD677D0"/>
    <w:multiLevelType w:val="hybridMultilevel"/>
    <w:tmpl w:val="635E6F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C0C8D"/>
    <w:multiLevelType w:val="hybridMultilevel"/>
    <w:tmpl w:val="6548D74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0362FD"/>
    <w:multiLevelType w:val="hybridMultilevel"/>
    <w:tmpl w:val="B0843D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54CE0"/>
    <w:multiLevelType w:val="hybridMultilevel"/>
    <w:tmpl w:val="FC76FC7C"/>
    <w:lvl w:ilvl="0" w:tplc="C3E498C4">
      <w:start w:val="1"/>
      <w:numFmt w:val="decimal"/>
      <w:lvlText w:val="%1."/>
      <w:lvlJc w:val="left"/>
      <w:pPr>
        <w:ind w:left="252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3">
    <w:nsid w:val="3583337E"/>
    <w:multiLevelType w:val="hybridMultilevel"/>
    <w:tmpl w:val="4044C4E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810601"/>
    <w:multiLevelType w:val="hybridMultilevel"/>
    <w:tmpl w:val="9DA8BFD8"/>
    <w:lvl w:ilvl="0" w:tplc="D04C873C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5">
    <w:nsid w:val="3F793DCB"/>
    <w:multiLevelType w:val="hybridMultilevel"/>
    <w:tmpl w:val="CE0C581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BF37D2"/>
    <w:multiLevelType w:val="hybridMultilevel"/>
    <w:tmpl w:val="69E2915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522175E7"/>
    <w:multiLevelType w:val="hybridMultilevel"/>
    <w:tmpl w:val="C35AD7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C6737"/>
    <w:multiLevelType w:val="hybridMultilevel"/>
    <w:tmpl w:val="0E94A88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C2090E"/>
    <w:multiLevelType w:val="hybridMultilevel"/>
    <w:tmpl w:val="20B4F8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FD4B4C"/>
    <w:multiLevelType w:val="hybridMultilevel"/>
    <w:tmpl w:val="AC30404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E3940C2"/>
    <w:multiLevelType w:val="hybridMultilevel"/>
    <w:tmpl w:val="036E088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>
    <w:nsid w:val="70E26F5A"/>
    <w:multiLevelType w:val="hybridMultilevel"/>
    <w:tmpl w:val="2E8643D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9B0D2E"/>
    <w:multiLevelType w:val="hybridMultilevel"/>
    <w:tmpl w:val="96D2714C"/>
    <w:lvl w:ilvl="0" w:tplc="3A0AFBB8">
      <w:start w:val="1"/>
      <w:numFmt w:val="decimal"/>
      <w:lvlText w:val="%1."/>
      <w:lvlJc w:val="left"/>
      <w:pPr>
        <w:ind w:left="252" w:hanging="360"/>
      </w:pPr>
      <w:rPr>
        <w:rFonts w:hint="default"/>
        <w:b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E9036AA"/>
    <w:multiLevelType w:val="hybridMultilevel"/>
    <w:tmpl w:val="A03000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10"/>
  </w:num>
  <w:num w:numId="5">
    <w:abstractNumId w:val="9"/>
  </w:num>
  <w:num w:numId="6">
    <w:abstractNumId w:val="17"/>
  </w:num>
  <w:num w:numId="7">
    <w:abstractNumId w:val="13"/>
  </w:num>
  <w:num w:numId="8">
    <w:abstractNumId w:val="4"/>
  </w:num>
  <w:num w:numId="9">
    <w:abstractNumId w:val="16"/>
  </w:num>
  <w:num w:numId="10">
    <w:abstractNumId w:val="8"/>
  </w:num>
  <w:num w:numId="11">
    <w:abstractNumId w:val="1"/>
  </w:num>
  <w:num w:numId="12">
    <w:abstractNumId w:val="25"/>
  </w:num>
  <w:num w:numId="13">
    <w:abstractNumId w:val="18"/>
  </w:num>
  <w:num w:numId="14">
    <w:abstractNumId w:val="20"/>
  </w:num>
  <w:num w:numId="15">
    <w:abstractNumId w:val="0"/>
  </w:num>
  <w:num w:numId="16">
    <w:abstractNumId w:val="15"/>
  </w:num>
  <w:num w:numId="17">
    <w:abstractNumId w:val="2"/>
  </w:num>
  <w:num w:numId="18">
    <w:abstractNumId w:val="19"/>
  </w:num>
  <w:num w:numId="19">
    <w:abstractNumId w:val="5"/>
  </w:num>
  <w:num w:numId="20">
    <w:abstractNumId w:val="22"/>
  </w:num>
  <w:num w:numId="21">
    <w:abstractNumId w:val="24"/>
  </w:num>
  <w:num w:numId="22">
    <w:abstractNumId w:val="3"/>
  </w:num>
  <w:num w:numId="23">
    <w:abstractNumId w:val="14"/>
  </w:num>
  <w:num w:numId="24">
    <w:abstractNumId w:val="12"/>
  </w:num>
  <w:num w:numId="25">
    <w:abstractNumId w:val="7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67000"/>
    <w:rsid w:val="000014E7"/>
    <w:rsid w:val="00035118"/>
    <w:rsid w:val="0005219F"/>
    <w:rsid w:val="001325D7"/>
    <w:rsid w:val="001361B1"/>
    <w:rsid w:val="00155E44"/>
    <w:rsid w:val="001B5950"/>
    <w:rsid w:val="00200362"/>
    <w:rsid w:val="00210DDF"/>
    <w:rsid w:val="00235B87"/>
    <w:rsid w:val="0026056B"/>
    <w:rsid w:val="00270DAB"/>
    <w:rsid w:val="002D0B79"/>
    <w:rsid w:val="002D0BFC"/>
    <w:rsid w:val="002D4E44"/>
    <w:rsid w:val="002E15DB"/>
    <w:rsid w:val="003A5712"/>
    <w:rsid w:val="003B4EB2"/>
    <w:rsid w:val="00407313"/>
    <w:rsid w:val="00476738"/>
    <w:rsid w:val="00490AB3"/>
    <w:rsid w:val="005304E7"/>
    <w:rsid w:val="00537023"/>
    <w:rsid w:val="00540FDB"/>
    <w:rsid w:val="00654F96"/>
    <w:rsid w:val="00670002"/>
    <w:rsid w:val="006F0FA7"/>
    <w:rsid w:val="00723E8D"/>
    <w:rsid w:val="00724593"/>
    <w:rsid w:val="0075140E"/>
    <w:rsid w:val="007B71BD"/>
    <w:rsid w:val="007E4430"/>
    <w:rsid w:val="007F2C85"/>
    <w:rsid w:val="00856045"/>
    <w:rsid w:val="00867E2A"/>
    <w:rsid w:val="008940A9"/>
    <w:rsid w:val="00937AE1"/>
    <w:rsid w:val="00977189"/>
    <w:rsid w:val="009C6F81"/>
    <w:rsid w:val="00A073B8"/>
    <w:rsid w:val="00A96714"/>
    <w:rsid w:val="00AF076E"/>
    <w:rsid w:val="00B416D7"/>
    <w:rsid w:val="00B5240C"/>
    <w:rsid w:val="00B9595C"/>
    <w:rsid w:val="00BA3E22"/>
    <w:rsid w:val="00C1767C"/>
    <w:rsid w:val="00C36ACD"/>
    <w:rsid w:val="00C67000"/>
    <w:rsid w:val="00CD1018"/>
    <w:rsid w:val="00CF6733"/>
    <w:rsid w:val="00D2480D"/>
    <w:rsid w:val="00DB4C5C"/>
    <w:rsid w:val="00DC28D9"/>
    <w:rsid w:val="00E05ED0"/>
    <w:rsid w:val="00E51017"/>
    <w:rsid w:val="00E96477"/>
    <w:rsid w:val="00ED465A"/>
    <w:rsid w:val="00F03A01"/>
    <w:rsid w:val="00F455F0"/>
    <w:rsid w:val="00F700C3"/>
    <w:rsid w:val="00FA685D"/>
    <w:rsid w:val="00FB0FCE"/>
    <w:rsid w:val="00FD6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0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67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670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7000"/>
  </w:style>
  <w:style w:type="paragraph" w:styleId="Piedepgina">
    <w:name w:val="footer"/>
    <w:basedOn w:val="Normal"/>
    <w:link w:val="PiedepginaCar"/>
    <w:uiPriority w:val="99"/>
    <w:semiHidden/>
    <w:unhideWhenUsed/>
    <w:rsid w:val="00C670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67000"/>
  </w:style>
  <w:style w:type="paragraph" w:styleId="Sinespaciado">
    <w:name w:val="No Spacing"/>
    <w:uiPriority w:val="1"/>
    <w:qFormat/>
    <w:rsid w:val="00C67000"/>
    <w:pPr>
      <w:spacing w:after="0" w:line="240" w:lineRule="auto"/>
    </w:pPr>
  </w:style>
  <w:style w:type="paragraph" w:customStyle="1" w:styleId="Normal1">
    <w:name w:val="Normal1"/>
    <w:rsid w:val="00C67000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D10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1554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48</cp:revision>
  <dcterms:created xsi:type="dcterms:W3CDTF">2016-06-15T19:57:00Z</dcterms:created>
  <dcterms:modified xsi:type="dcterms:W3CDTF">2016-06-16T12:54:00Z</dcterms:modified>
</cp:coreProperties>
</file>