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3B" w:rsidRDefault="00261712">
      <w:pPr>
        <w:jc w:val="center"/>
        <w:rPr>
          <w:rStyle w:val="Ninguno"/>
          <w:rFonts w:ascii="Arial" w:eastAsia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Style w:val="Ninguno"/>
          <w:rFonts w:ascii="Arial" w:hAnsi="Arial"/>
          <w:b/>
          <w:bCs/>
          <w:sz w:val="24"/>
          <w:szCs w:val="24"/>
        </w:rPr>
        <w:t>Programa de asignatura</w:t>
      </w:r>
    </w:p>
    <w:p w:rsidR="00B3193B" w:rsidRDefault="00261712">
      <w:pPr>
        <w:jc w:val="center"/>
        <w:rPr>
          <w:rStyle w:val="Ninguno"/>
          <w:rFonts w:ascii="Arial" w:eastAsia="Arial" w:hAnsi="Arial" w:cs="Arial"/>
          <w:sz w:val="24"/>
          <w:szCs w:val="24"/>
        </w:rPr>
      </w:pPr>
      <w:r>
        <w:rPr>
          <w:rStyle w:val="Ninguno"/>
          <w:rFonts w:ascii="Arial" w:hAnsi="Arial"/>
          <w:b/>
          <w:bCs/>
          <w:sz w:val="24"/>
          <w:szCs w:val="24"/>
        </w:rPr>
        <w:t>Optativo II</w:t>
      </w:r>
    </w:p>
    <w:tbl>
      <w:tblPr>
        <w:tblStyle w:val="TableNormal"/>
        <w:tblW w:w="88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864"/>
        <w:gridCol w:w="241"/>
        <w:gridCol w:w="1244"/>
        <w:gridCol w:w="137"/>
        <w:gridCol w:w="314"/>
        <w:gridCol w:w="280"/>
        <w:gridCol w:w="694"/>
        <w:gridCol w:w="241"/>
        <w:gridCol w:w="872"/>
        <w:gridCol w:w="141"/>
        <w:gridCol w:w="204"/>
        <w:gridCol w:w="225"/>
        <w:gridCol w:w="848"/>
        <w:gridCol w:w="254"/>
        <w:gridCol w:w="250"/>
      </w:tblGrid>
      <w:tr w:rsidR="00B31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Carrera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Psicolog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 (19124)</w:t>
            </w:r>
          </w:p>
        </w:tc>
      </w:tr>
      <w:tr w:rsidR="00B31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C</w:t>
            </w:r>
            <w:r>
              <w:rPr>
                <w:rStyle w:val="Ninguno"/>
                <w:rFonts w:ascii="Arial" w:hAnsi="Arial"/>
                <w:b/>
                <w:bCs/>
              </w:rPr>
              <w:t>ó</w:t>
            </w:r>
            <w:r>
              <w:rPr>
                <w:rStyle w:val="Ninguno"/>
                <w:rFonts w:ascii="Arial" w:hAnsi="Arial"/>
                <w:b/>
                <w:bCs/>
              </w:rPr>
              <w:t>digo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B3193B"/>
        </w:tc>
      </w:tr>
      <w:tr w:rsidR="00B31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Nivel / Semestre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B3193B"/>
        </w:tc>
      </w:tr>
      <w:tr w:rsidR="00B31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Horas Pedag</w:t>
            </w:r>
            <w:r>
              <w:rPr>
                <w:rStyle w:val="Ninguno"/>
                <w:rFonts w:ascii="Arial" w:hAnsi="Arial"/>
                <w:b/>
                <w:bCs/>
              </w:rPr>
              <w:t>ó</w:t>
            </w:r>
            <w:r>
              <w:rPr>
                <w:rStyle w:val="Ninguno"/>
                <w:rFonts w:ascii="Arial" w:hAnsi="Arial"/>
                <w:b/>
                <w:bCs/>
              </w:rPr>
              <w:t>gicas</w:t>
            </w:r>
          </w:p>
        </w:tc>
        <w:tc>
          <w:tcPr>
            <w:tcW w:w="2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Docencia directa</w:t>
            </w:r>
          </w:p>
        </w:tc>
        <w:tc>
          <w:tcPr>
            <w:tcW w:w="7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1</w:t>
            </w: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 xml:space="preserve">   Trabajo aut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nomo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 xml:space="preserve">  Total</w:t>
            </w:r>
          </w:p>
        </w:tc>
        <w:tc>
          <w:tcPr>
            <w:tcW w:w="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1</w:t>
            </w:r>
          </w:p>
        </w:tc>
      </w:tr>
      <w:tr w:rsidR="00B31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Ejes de Formaci</w:t>
            </w:r>
            <w:r>
              <w:rPr>
                <w:rStyle w:val="Ninguno"/>
                <w:rFonts w:ascii="Arial" w:hAnsi="Arial"/>
                <w:b/>
                <w:bCs/>
              </w:rPr>
              <w:t>ó</w:t>
            </w:r>
            <w:r>
              <w:rPr>
                <w:rStyle w:val="Ninguno"/>
                <w:rFonts w:ascii="Arial" w:hAnsi="Arial"/>
                <w:b/>
                <w:bCs/>
              </w:rPr>
              <w:t>n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General</w:t>
            </w:r>
          </w:p>
        </w:tc>
        <w:tc>
          <w:tcPr>
            <w:tcW w:w="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B3193B"/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Especialidad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X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6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  <w:ind w:left="16"/>
            </w:pPr>
            <w:r>
              <w:rPr>
                <w:rStyle w:val="Ninguno"/>
                <w:rFonts w:ascii="Arial" w:hAnsi="Arial"/>
              </w:rPr>
              <w:t>Practica</w:t>
            </w:r>
          </w:p>
        </w:tc>
        <w:tc>
          <w:tcPr>
            <w:tcW w:w="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B3193B"/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Optativo</w:t>
            </w:r>
          </w:p>
        </w:tc>
        <w:tc>
          <w:tcPr>
            <w:tcW w:w="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B3193B"/>
        </w:tc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Electivo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B3193B"/>
        </w:tc>
      </w:tr>
      <w:tr w:rsidR="00B31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Descripci</w:t>
            </w:r>
            <w:r>
              <w:rPr>
                <w:rStyle w:val="Ninguno"/>
                <w:rFonts w:ascii="Arial" w:hAnsi="Arial"/>
                <w:b/>
                <w:bCs/>
              </w:rPr>
              <w:t>ó</w:t>
            </w:r>
            <w:r>
              <w:rPr>
                <w:rStyle w:val="Ninguno"/>
                <w:rFonts w:ascii="Arial" w:hAnsi="Arial"/>
                <w:b/>
                <w:bCs/>
              </w:rPr>
              <w:t>n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</w:rPr>
              <w:t xml:space="preserve">En esta </w:t>
            </w:r>
            <w:r>
              <w:rPr>
                <w:rStyle w:val="Ninguno"/>
                <w:rFonts w:ascii="Arial" w:hAnsi="Arial"/>
              </w:rPr>
              <w:t>asignatura te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rico-pr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ctica se aborda la teor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 y t</w:t>
            </w:r>
            <w:r>
              <w:rPr>
                <w:rStyle w:val="Ninguno"/>
                <w:rFonts w:ascii="Arial" w:hAnsi="Arial"/>
              </w:rPr>
              <w:t>é</w:t>
            </w:r>
            <w:r>
              <w:rPr>
                <w:rStyle w:val="Ninguno"/>
                <w:rFonts w:ascii="Arial" w:hAnsi="Arial"/>
              </w:rPr>
              <w:t xml:space="preserve">cnicas para trabajar con grupos de personas en el 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 xml:space="preserve">mbito </w:t>
            </w:r>
            <w:proofErr w:type="spellStart"/>
            <w:r>
              <w:rPr>
                <w:rStyle w:val="Ninguno"/>
                <w:rFonts w:ascii="Arial" w:hAnsi="Arial"/>
              </w:rPr>
              <w:t>profesioinal</w:t>
            </w:r>
            <w:proofErr w:type="spellEnd"/>
            <w:r>
              <w:rPr>
                <w:rStyle w:val="Ninguno"/>
                <w:rFonts w:ascii="Arial" w:hAnsi="Arial"/>
              </w:rPr>
              <w:t>, bajo las referencias psicodin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micas.</w:t>
            </w:r>
          </w:p>
        </w:tc>
      </w:tr>
      <w:tr w:rsidR="00B31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Pre-requisitos / Aprendizajes Previos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Teor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 xml:space="preserve">a </w:t>
            </w:r>
            <w:proofErr w:type="spellStart"/>
            <w:r>
              <w:rPr>
                <w:rStyle w:val="Ninguno"/>
                <w:rFonts w:ascii="Arial" w:hAnsi="Arial"/>
              </w:rPr>
              <w:t>Psicoanalitica</w:t>
            </w:r>
            <w:proofErr w:type="spellEnd"/>
          </w:p>
          <w:p w:rsidR="00B3193B" w:rsidRDefault="00261712">
            <w:pPr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Psicolog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 Social</w:t>
            </w:r>
          </w:p>
          <w:p w:rsidR="00B3193B" w:rsidRDefault="00261712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Psicopatolog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</w:t>
            </w:r>
          </w:p>
        </w:tc>
      </w:tr>
    </w:tbl>
    <w:p w:rsidR="00B3193B" w:rsidRDefault="00B3193B">
      <w:pPr>
        <w:widowControl w:val="0"/>
        <w:spacing w:line="240" w:lineRule="auto"/>
        <w:ind w:left="108" w:hanging="108"/>
        <w:jc w:val="center"/>
        <w:rPr>
          <w:rStyle w:val="Ninguno"/>
          <w:sz w:val="24"/>
          <w:szCs w:val="24"/>
        </w:rPr>
      </w:pPr>
    </w:p>
    <w:p w:rsidR="00B3193B" w:rsidRDefault="00B3193B">
      <w:pPr>
        <w:jc w:val="both"/>
        <w:rPr>
          <w:rStyle w:val="Ninguno"/>
          <w:rFonts w:ascii="Arial" w:eastAsia="Arial" w:hAnsi="Arial" w:cs="Arial"/>
          <w:b/>
          <w:bCs/>
        </w:rPr>
      </w:pPr>
    </w:p>
    <w:p w:rsidR="00B3193B" w:rsidRDefault="00261712">
      <w:pPr>
        <w:jc w:val="both"/>
        <w:rPr>
          <w:rStyle w:val="Ninguno"/>
          <w:rFonts w:ascii="Arial" w:eastAsia="Arial" w:hAnsi="Arial" w:cs="Arial"/>
          <w:b/>
          <w:bCs/>
          <w:color w:val="FF0000"/>
          <w:u w:color="FF0000"/>
        </w:rPr>
      </w:pPr>
      <w:r>
        <w:rPr>
          <w:rStyle w:val="Ninguno"/>
          <w:rFonts w:ascii="Arial" w:hAnsi="Arial"/>
          <w:b/>
          <w:bCs/>
        </w:rPr>
        <w:t>Aporte al perfil de egreso</w:t>
      </w:r>
    </w:p>
    <w:tbl>
      <w:tblPr>
        <w:tblStyle w:val="TableNormal"/>
        <w:tblW w:w="1021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17"/>
      </w:tblGrid>
      <w:tr w:rsidR="00B31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3"/>
        </w:trPr>
        <w:tc>
          <w:tcPr>
            <w:tcW w:w="10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</w:rPr>
              <w:t xml:space="preserve">Es una asignatura del 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rea especialidad que aporta una gama de conocimientos necesarios para el quehacer profesional en la comprensi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del comportamiento humano de forma individual como en su contexto social, al momento de incor</w:t>
            </w:r>
            <w:r>
              <w:rPr>
                <w:rStyle w:val="Ninguno"/>
                <w:rFonts w:ascii="Arial" w:hAnsi="Arial"/>
              </w:rPr>
              <w:t>porarse a la vida laboral.</w:t>
            </w:r>
          </w:p>
        </w:tc>
      </w:tr>
    </w:tbl>
    <w:p w:rsidR="00B3193B" w:rsidRDefault="00B3193B">
      <w:pPr>
        <w:widowControl w:val="0"/>
        <w:spacing w:line="240" w:lineRule="auto"/>
        <w:ind w:left="108" w:hanging="108"/>
        <w:jc w:val="both"/>
        <w:rPr>
          <w:rStyle w:val="Ninguno"/>
          <w:rFonts w:ascii="Arial" w:eastAsia="Arial" w:hAnsi="Arial" w:cs="Arial"/>
          <w:b/>
          <w:bCs/>
        </w:rPr>
      </w:pPr>
    </w:p>
    <w:tbl>
      <w:tblPr>
        <w:tblStyle w:val="TableNormal"/>
        <w:tblW w:w="992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88"/>
        <w:gridCol w:w="4935"/>
      </w:tblGrid>
      <w:tr w:rsidR="00B31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/>
        </w:trPr>
        <w:tc>
          <w:tcPr>
            <w:tcW w:w="9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B3193B"/>
        </w:tc>
      </w:tr>
      <w:tr w:rsidR="00B31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b/>
                <w:bCs/>
              </w:rPr>
              <w:t>Unidades de aprendizaje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b/>
                <w:bCs/>
              </w:rPr>
              <w:t>Resultados de aprendizaje</w:t>
            </w:r>
          </w:p>
        </w:tc>
      </w:tr>
      <w:tr w:rsidR="00B31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1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lastRenderedPageBreak/>
              <w:t>1.- Aspectos Te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ricos concernientes al trabajo en y con grupos.</w:t>
            </w:r>
          </w:p>
          <w:p w:rsidR="00B3193B" w:rsidRDefault="00261712">
            <w:pPr>
              <w:numPr>
                <w:ilvl w:val="0"/>
                <w:numId w:val="1"/>
              </w:num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Teor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 Psicoanal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tica</w:t>
            </w:r>
          </w:p>
          <w:p w:rsidR="00B3193B" w:rsidRDefault="00261712">
            <w:pPr>
              <w:numPr>
                <w:ilvl w:val="0"/>
                <w:numId w:val="1"/>
              </w:num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Psicopatolog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</w:t>
            </w:r>
          </w:p>
          <w:p w:rsidR="00B3193B" w:rsidRDefault="00261712">
            <w:pPr>
              <w:numPr>
                <w:ilvl w:val="0"/>
                <w:numId w:val="1"/>
              </w:num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Psicolog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 Social</w:t>
            </w:r>
          </w:p>
          <w:p w:rsidR="00B3193B" w:rsidRDefault="00B3193B">
            <w:pPr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rPr>
                <w:rStyle w:val="Ninguno"/>
                <w:rFonts w:ascii="Arial" w:eastAsia="Arial" w:hAnsi="Arial" w:cs="Arial"/>
              </w:rPr>
            </w:pPr>
          </w:p>
          <w:p w:rsidR="00B3193B" w:rsidRDefault="00261712">
            <w:p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 xml:space="preserve"> </w:t>
            </w:r>
          </w:p>
          <w:p w:rsidR="00B3193B" w:rsidRDefault="00261712">
            <w:p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2. T</w:t>
            </w:r>
            <w:r>
              <w:rPr>
                <w:rStyle w:val="Ninguno"/>
                <w:rFonts w:ascii="Arial" w:hAnsi="Arial"/>
              </w:rPr>
              <w:t>é</w:t>
            </w:r>
            <w:r>
              <w:rPr>
                <w:rStyle w:val="Ninguno"/>
                <w:rFonts w:ascii="Arial" w:hAnsi="Arial"/>
              </w:rPr>
              <w:t>cnicas participaci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 xml:space="preserve">n e grupos nuevos de </w:t>
            </w:r>
            <w:r>
              <w:rPr>
                <w:rStyle w:val="Ninguno"/>
                <w:rFonts w:ascii="Arial" w:hAnsi="Arial"/>
              </w:rPr>
              <w:t>trabajo.</w:t>
            </w:r>
          </w:p>
          <w:p w:rsidR="00B3193B" w:rsidRDefault="00B3193B">
            <w:pPr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rPr>
                <w:rStyle w:val="Ninguno"/>
                <w:rFonts w:ascii="Arial" w:eastAsia="Arial" w:hAnsi="Arial" w:cs="Arial"/>
              </w:rPr>
            </w:pPr>
          </w:p>
          <w:p w:rsidR="00B3193B" w:rsidRDefault="00261712">
            <w:p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 xml:space="preserve">3.- </w:t>
            </w:r>
            <w:proofErr w:type="spellStart"/>
            <w:r>
              <w:rPr>
                <w:rStyle w:val="Ninguno"/>
                <w:rFonts w:ascii="Arial" w:hAnsi="Arial"/>
              </w:rPr>
              <w:t>Estartegias</w:t>
            </w:r>
            <w:proofErr w:type="spellEnd"/>
            <w:r>
              <w:rPr>
                <w:rStyle w:val="Ninguno"/>
                <w:rFonts w:ascii="Arial" w:hAnsi="Arial"/>
              </w:rPr>
              <w:t xml:space="preserve"> de incorporaci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a grupos nuevos.</w:t>
            </w:r>
          </w:p>
          <w:p w:rsidR="00B3193B" w:rsidRDefault="00B3193B">
            <w:pPr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/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- Identifica y reconoce aspectos hist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 xml:space="preserve">ricos y </w:t>
            </w:r>
            <w:proofErr w:type="gramStart"/>
            <w:r>
              <w:rPr>
                <w:rStyle w:val="Ninguno"/>
                <w:rFonts w:ascii="Arial" w:hAnsi="Arial"/>
              </w:rPr>
              <w:t>contextuales  en</w:t>
            </w:r>
            <w:proofErr w:type="gramEnd"/>
            <w:r>
              <w:rPr>
                <w:rStyle w:val="Ninguno"/>
                <w:rFonts w:ascii="Arial" w:hAnsi="Arial"/>
              </w:rPr>
              <w:t xml:space="preserve"> relaci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a las teor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as que aportan a la comprensi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del trabajo en equipo.</w:t>
            </w:r>
          </w:p>
          <w:p w:rsidR="00B3193B" w:rsidRDefault="0026171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- Distingue y compara los aportes te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 xml:space="preserve">ricos que </w:t>
            </w:r>
            <w:r>
              <w:rPr>
                <w:rStyle w:val="Ninguno"/>
                <w:rFonts w:ascii="Arial" w:hAnsi="Arial"/>
              </w:rPr>
              <w:t>aportan a la distinci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los distintos grupos de trabajo.</w:t>
            </w:r>
          </w:p>
          <w:p w:rsidR="00B3193B" w:rsidRDefault="00B3193B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2617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 xml:space="preserve">Reconoce los tipos de grupos a encontrar en el 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mbito laboral</w:t>
            </w:r>
          </w:p>
          <w:p w:rsidR="00B3193B" w:rsidRDefault="002617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 xml:space="preserve">Reconoce los tipos de personalidad y </w:t>
            </w:r>
            <w:proofErr w:type="spellStart"/>
            <w:r>
              <w:rPr>
                <w:rStyle w:val="Ninguno"/>
                <w:rFonts w:ascii="Arial" w:hAnsi="Arial"/>
              </w:rPr>
              <w:t>com</w:t>
            </w:r>
            <w:proofErr w:type="spellEnd"/>
            <w:r>
              <w:rPr>
                <w:rStyle w:val="Ninguno"/>
                <w:rFonts w:ascii="Arial" w:hAnsi="Arial"/>
              </w:rPr>
              <w:t xml:space="preserve"> influyen en las din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micas laborales.</w:t>
            </w:r>
          </w:p>
          <w:p w:rsidR="00B3193B" w:rsidRDefault="00B3193B">
            <w:pPr>
              <w:pStyle w:val="Prrafodelista"/>
              <w:spacing w:after="0" w:line="240" w:lineRule="auto"/>
              <w:ind w:left="0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pStyle w:val="Prrafodelista"/>
              <w:spacing w:after="0" w:line="240" w:lineRule="auto"/>
              <w:ind w:left="0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pStyle w:val="Prrafodelista"/>
              <w:spacing w:after="0" w:line="240" w:lineRule="auto"/>
              <w:ind w:left="0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pStyle w:val="Prrafodelista"/>
              <w:spacing w:after="0" w:line="240" w:lineRule="auto"/>
              <w:ind w:left="0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pStyle w:val="Prrafodelista"/>
              <w:spacing w:after="0" w:line="240" w:lineRule="auto"/>
              <w:ind w:left="0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B3193B">
            <w:pPr>
              <w:pStyle w:val="Prrafodelista"/>
              <w:spacing w:after="0" w:line="240" w:lineRule="auto"/>
              <w:ind w:left="0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261712">
            <w:pPr>
              <w:pStyle w:val="Prrafodelista"/>
              <w:spacing w:after="0" w:line="240" w:lineRule="auto"/>
              <w:ind w:left="0"/>
              <w:jc w:val="both"/>
            </w:pPr>
            <w:r>
              <w:rPr>
                <w:rStyle w:val="Ninguno"/>
                <w:rFonts w:ascii="Arial" w:hAnsi="Arial"/>
              </w:rPr>
              <w:t xml:space="preserve">- Desarrolla una </w:t>
            </w:r>
            <w:proofErr w:type="spellStart"/>
            <w:r>
              <w:rPr>
                <w:rStyle w:val="Ninguno"/>
                <w:rFonts w:ascii="Arial" w:hAnsi="Arial"/>
              </w:rPr>
              <w:t>una</w:t>
            </w:r>
            <w:proofErr w:type="spellEnd"/>
            <w:r>
              <w:rPr>
                <w:rStyle w:val="Ninguno"/>
                <w:rFonts w:ascii="Arial" w:hAnsi="Arial"/>
              </w:rPr>
              <w:t xml:space="preserve"> estrategia de abordaje</w:t>
            </w:r>
            <w:r>
              <w:rPr>
                <w:rStyle w:val="Ninguno"/>
                <w:rFonts w:ascii="Arial" w:hAnsi="Arial"/>
              </w:rPr>
              <w:t xml:space="preserve"> a grupos nuevos de trabajo.</w:t>
            </w:r>
          </w:p>
        </w:tc>
      </w:tr>
    </w:tbl>
    <w:p w:rsidR="00B3193B" w:rsidRDefault="00B3193B">
      <w:pPr>
        <w:widowControl w:val="0"/>
        <w:spacing w:line="240" w:lineRule="auto"/>
        <w:ind w:left="108" w:hanging="108"/>
        <w:jc w:val="both"/>
        <w:rPr>
          <w:rStyle w:val="Ninguno"/>
          <w:rFonts w:ascii="Arial" w:eastAsia="Arial" w:hAnsi="Arial" w:cs="Arial"/>
          <w:b/>
          <w:bCs/>
        </w:rPr>
      </w:pPr>
    </w:p>
    <w:p w:rsidR="00B3193B" w:rsidRDefault="00B3193B">
      <w:pPr>
        <w:jc w:val="both"/>
        <w:rPr>
          <w:rStyle w:val="Ninguno"/>
          <w:b/>
          <w:bCs/>
          <w:sz w:val="24"/>
          <w:szCs w:val="24"/>
        </w:rPr>
      </w:pPr>
    </w:p>
    <w:p w:rsidR="00B3193B" w:rsidRDefault="00B3193B">
      <w:pPr>
        <w:jc w:val="both"/>
        <w:rPr>
          <w:rStyle w:val="Ninguno"/>
          <w:b/>
          <w:bCs/>
          <w:sz w:val="24"/>
          <w:szCs w:val="24"/>
        </w:rPr>
      </w:pPr>
    </w:p>
    <w:p w:rsidR="00B3193B" w:rsidRDefault="00B3193B">
      <w:pPr>
        <w:jc w:val="both"/>
        <w:rPr>
          <w:rStyle w:val="Ninguno"/>
          <w:b/>
          <w:bCs/>
          <w:sz w:val="24"/>
          <w:szCs w:val="24"/>
        </w:rPr>
      </w:pPr>
    </w:p>
    <w:p w:rsidR="00B3193B" w:rsidRDefault="00B3193B">
      <w:pPr>
        <w:jc w:val="both"/>
        <w:rPr>
          <w:rStyle w:val="Ninguno"/>
          <w:b/>
          <w:bCs/>
          <w:sz w:val="24"/>
          <w:szCs w:val="24"/>
        </w:rPr>
      </w:pPr>
    </w:p>
    <w:p w:rsidR="00B3193B" w:rsidRDefault="00B3193B">
      <w:pPr>
        <w:jc w:val="both"/>
        <w:rPr>
          <w:rStyle w:val="Ninguno"/>
          <w:b/>
          <w:bCs/>
          <w:sz w:val="24"/>
          <w:szCs w:val="24"/>
        </w:rPr>
      </w:pPr>
    </w:p>
    <w:p w:rsidR="00B3193B" w:rsidRDefault="00261712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>ESTRATEGIAS DE ENSEÑANZA Y APRENDIZAJE</w:t>
      </w:r>
    </w:p>
    <w:tbl>
      <w:tblPr>
        <w:tblStyle w:val="TableNormal"/>
        <w:tblW w:w="89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</w:tblGrid>
      <w:tr w:rsidR="00B31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0"/>
        </w:trPr>
        <w:tc>
          <w:tcPr>
            <w:tcW w:w="8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B3193B">
            <w:pPr>
              <w:spacing w:after="0" w:line="240" w:lineRule="auto"/>
              <w:jc w:val="both"/>
            </w:pPr>
          </w:p>
          <w:p w:rsidR="00B3193B" w:rsidRDefault="002617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Clases expositivas</w:t>
            </w:r>
          </w:p>
          <w:p w:rsidR="00B3193B" w:rsidRDefault="002617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Elaboraci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mapas conceptuales, esquemas u otros</w:t>
            </w:r>
          </w:p>
          <w:p w:rsidR="00B3193B" w:rsidRDefault="002617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Preguntas intercaladas</w:t>
            </w:r>
          </w:p>
          <w:p w:rsidR="00B3193B" w:rsidRDefault="002617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Trabajos en clases (An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lisis de Protocolos)</w:t>
            </w:r>
          </w:p>
          <w:p w:rsidR="00B3193B" w:rsidRDefault="002617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Lectura</w:t>
            </w:r>
          </w:p>
          <w:p w:rsidR="00B3193B" w:rsidRDefault="002617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Aplicaci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n, Tabulaci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 xml:space="preserve">n e </w:t>
            </w:r>
            <w:r>
              <w:rPr>
                <w:rStyle w:val="Ninguno"/>
                <w:rFonts w:ascii="Arial" w:hAnsi="Arial"/>
              </w:rPr>
              <w:t>Interpretaci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Instrumentos</w:t>
            </w:r>
          </w:p>
          <w:p w:rsidR="00B3193B" w:rsidRDefault="002617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Elaboraci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Informes</w:t>
            </w:r>
          </w:p>
        </w:tc>
      </w:tr>
    </w:tbl>
    <w:p w:rsidR="00B3193B" w:rsidRDefault="00B3193B">
      <w:pPr>
        <w:widowControl w:val="0"/>
        <w:spacing w:line="240" w:lineRule="auto"/>
        <w:ind w:left="108" w:hanging="108"/>
        <w:jc w:val="both"/>
        <w:rPr>
          <w:rStyle w:val="Ninguno"/>
          <w:b/>
          <w:bCs/>
          <w:sz w:val="24"/>
          <w:szCs w:val="24"/>
        </w:rPr>
      </w:pPr>
    </w:p>
    <w:p w:rsidR="00B3193B" w:rsidRDefault="00B3193B">
      <w:pPr>
        <w:jc w:val="both"/>
        <w:rPr>
          <w:rStyle w:val="Ninguno"/>
          <w:b/>
          <w:bCs/>
          <w:sz w:val="24"/>
          <w:szCs w:val="24"/>
        </w:rPr>
      </w:pPr>
    </w:p>
    <w:p w:rsidR="00B3193B" w:rsidRDefault="00261712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>PROCEDIMIENTOS DE EVALUACIÓN DE APRENDIZAJES</w:t>
      </w:r>
    </w:p>
    <w:tbl>
      <w:tblPr>
        <w:tblStyle w:val="TableNormal"/>
        <w:tblW w:w="89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</w:tblGrid>
      <w:tr w:rsidR="00B31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3"/>
        </w:trPr>
        <w:tc>
          <w:tcPr>
            <w:tcW w:w="8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i/>
                <w:iCs/>
                <w:color w:val="FF0000"/>
                <w:u w:color="FF0000"/>
              </w:rPr>
              <w:t xml:space="preserve"> </w:t>
            </w:r>
          </w:p>
          <w:p w:rsidR="00B3193B" w:rsidRDefault="00261712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b/>
                <w:bCs/>
              </w:rPr>
            </w:pPr>
            <w:r>
              <w:rPr>
                <w:rStyle w:val="Ninguno"/>
                <w:rFonts w:ascii="Arial" w:hAnsi="Arial"/>
                <w:b/>
                <w:bCs/>
              </w:rPr>
              <w:t xml:space="preserve">Evaluaciones </w:t>
            </w:r>
            <w:proofErr w:type="spellStart"/>
            <w:r>
              <w:rPr>
                <w:rStyle w:val="Ninguno"/>
                <w:rFonts w:ascii="Arial" w:hAnsi="Arial"/>
                <w:b/>
                <w:bCs/>
              </w:rPr>
              <w:t>sumativas</w:t>
            </w:r>
            <w:proofErr w:type="spellEnd"/>
            <w:r>
              <w:rPr>
                <w:rStyle w:val="Ninguno"/>
                <w:rFonts w:ascii="Arial" w:hAnsi="Arial"/>
                <w:b/>
                <w:bCs/>
              </w:rPr>
              <w:t>:</w:t>
            </w:r>
          </w:p>
          <w:p w:rsidR="00B3193B" w:rsidRDefault="00B3193B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26171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Trabajos en clases, individual o grupal, Controles de lectura, otros.</w:t>
            </w:r>
          </w:p>
          <w:p w:rsidR="00B3193B" w:rsidRDefault="0026171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b/>
                <w:bCs/>
              </w:rPr>
            </w:pPr>
            <w:r>
              <w:rPr>
                <w:rStyle w:val="Ninguno"/>
                <w:rFonts w:ascii="Arial" w:hAnsi="Arial"/>
              </w:rPr>
              <w:t>Informes Psicol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 xml:space="preserve">gicos </w:t>
            </w:r>
          </w:p>
          <w:p w:rsidR="00B3193B" w:rsidRDefault="00B3193B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b/>
                <w:bCs/>
              </w:rPr>
            </w:pPr>
          </w:p>
          <w:p w:rsidR="00B3193B" w:rsidRDefault="0026171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b/>
                <w:bCs/>
              </w:rPr>
            </w:pPr>
            <w:r>
              <w:rPr>
                <w:rStyle w:val="Ninguno"/>
                <w:rFonts w:ascii="Arial" w:hAnsi="Arial"/>
                <w:b/>
                <w:bCs/>
              </w:rPr>
              <w:t>Ponderaciones:</w:t>
            </w:r>
          </w:p>
          <w:p w:rsidR="00B3193B" w:rsidRDefault="0026171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 xml:space="preserve">Total </w:t>
            </w:r>
            <w:r>
              <w:rPr>
                <w:rStyle w:val="Ninguno"/>
                <w:rFonts w:ascii="Arial" w:hAnsi="Arial"/>
              </w:rPr>
              <w:t>Controles/trabajos en clases :  30%</w:t>
            </w:r>
          </w:p>
          <w:p w:rsidR="00B3193B" w:rsidRDefault="0026171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Total Informes: 70%</w:t>
            </w:r>
          </w:p>
          <w:p w:rsidR="00B3193B" w:rsidRDefault="00B3193B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B3193B" w:rsidRDefault="0026171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Asignatura formato Taller: Asistencia 90%</w:t>
            </w:r>
          </w:p>
          <w:p w:rsidR="00B3193B" w:rsidRDefault="00261712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</w:rPr>
              <w:t xml:space="preserve"> </w:t>
            </w:r>
          </w:p>
        </w:tc>
      </w:tr>
    </w:tbl>
    <w:p w:rsidR="00B3193B" w:rsidRDefault="00B3193B">
      <w:pPr>
        <w:widowControl w:val="0"/>
        <w:spacing w:line="240" w:lineRule="auto"/>
        <w:ind w:left="108" w:hanging="108"/>
        <w:jc w:val="both"/>
        <w:rPr>
          <w:rStyle w:val="Ninguno"/>
          <w:b/>
          <w:bCs/>
          <w:sz w:val="24"/>
          <w:szCs w:val="24"/>
        </w:rPr>
      </w:pPr>
    </w:p>
    <w:p w:rsidR="00B3193B" w:rsidRDefault="00B3193B">
      <w:pPr>
        <w:jc w:val="both"/>
        <w:rPr>
          <w:rStyle w:val="Ninguno"/>
          <w:b/>
          <w:bCs/>
          <w:sz w:val="24"/>
          <w:szCs w:val="24"/>
        </w:rPr>
      </w:pPr>
    </w:p>
    <w:tbl>
      <w:tblPr>
        <w:tblStyle w:val="TableNormal"/>
        <w:tblW w:w="89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</w:tblGrid>
      <w:tr w:rsidR="00B31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61"/>
        </w:trPr>
        <w:tc>
          <w:tcPr>
            <w:tcW w:w="8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93B" w:rsidRDefault="00261712">
            <w:pPr>
              <w:pStyle w:val="Ttulo1"/>
              <w:rPr>
                <w:rStyle w:val="Ninguno"/>
              </w:rPr>
            </w:pPr>
            <w:r>
              <w:rPr>
                <w:rStyle w:val="Ninguno"/>
              </w:rPr>
              <w:lastRenderedPageBreak/>
              <w:t>Bibliografía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Alicia </w:t>
            </w:r>
            <w:proofErr w:type="spellStart"/>
            <w:r>
              <w:rPr>
                <w:rStyle w:val="Ninguno"/>
              </w:rPr>
              <w:t>Passalacqua</w:t>
            </w:r>
            <w:proofErr w:type="spellEnd"/>
            <w:r>
              <w:rPr>
                <w:rStyle w:val="Ninguno"/>
              </w:rPr>
              <w:t xml:space="preserve">, A. C. (s.f.). </w:t>
            </w:r>
            <w:proofErr w:type="spellStart"/>
            <w:proofErr w:type="gramStart"/>
            <w:r>
              <w:rPr>
                <w:rStyle w:val="Ninguno"/>
                <w:i/>
                <w:iCs/>
              </w:rPr>
              <w:t>Psicodiagnóstico</w:t>
            </w:r>
            <w:proofErr w:type="spellEnd"/>
            <w:r>
              <w:rPr>
                <w:rStyle w:val="Ninguno"/>
                <w:i/>
                <w:iCs/>
              </w:rPr>
              <w:t xml:space="preserve"> :</w:t>
            </w:r>
            <w:proofErr w:type="gramEnd"/>
            <w:r>
              <w:rPr>
                <w:rStyle w:val="Ninguno"/>
                <w:i/>
                <w:iCs/>
              </w:rPr>
              <w:t xml:space="preserve"> Sistematización de </w:t>
            </w:r>
            <w:proofErr w:type="spellStart"/>
            <w:r>
              <w:rPr>
                <w:rStyle w:val="Ninguno"/>
                <w:i/>
                <w:iCs/>
              </w:rPr>
              <w:t>Rorchach</w:t>
            </w:r>
            <w:proofErr w:type="spellEnd"/>
            <w:r>
              <w:rPr>
                <w:rStyle w:val="Ninguno"/>
                <w:i/>
                <w:iCs/>
              </w:rPr>
              <w:t xml:space="preserve"> y nuevos aportes.</w:t>
            </w:r>
            <w:r>
              <w:rPr>
                <w:rStyle w:val="Ninguno"/>
              </w:rPr>
              <w:t xml:space="preserve"> </w:t>
            </w:r>
            <w:proofErr w:type="spellStart"/>
            <w:r>
              <w:rPr>
                <w:rStyle w:val="Ninguno"/>
              </w:rPr>
              <w:t>Klex</w:t>
            </w:r>
            <w:proofErr w:type="spellEnd"/>
            <w:r>
              <w:rPr>
                <w:rStyle w:val="Ninguno"/>
              </w:rPr>
              <w:t>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Bohm</w:t>
            </w:r>
            <w:proofErr w:type="spellEnd"/>
            <w:r>
              <w:rPr>
                <w:rStyle w:val="Ninguno"/>
              </w:rPr>
              <w:t xml:space="preserve">, E. (2001). </w:t>
            </w:r>
            <w:r>
              <w:rPr>
                <w:rStyle w:val="Ninguno"/>
                <w:i/>
                <w:iCs/>
              </w:rPr>
              <w:t xml:space="preserve">Manual </w:t>
            </w:r>
            <w:proofErr w:type="spellStart"/>
            <w:r>
              <w:rPr>
                <w:rStyle w:val="Ninguno"/>
                <w:i/>
                <w:iCs/>
              </w:rPr>
              <w:t>Psicodiagn</w:t>
            </w:r>
            <w:r>
              <w:rPr>
                <w:rStyle w:val="Ninguno"/>
                <w:i/>
                <w:iCs/>
              </w:rPr>
              <w:t>óstico</w:t>
            </w:r>
            <w:proofErr w:type="spellEnd"/>
            <w:r>
              <w:rPr>
                <w:rStyle w:val="Ninguno"/>
                <w:i/>
                <w:iCs/>
              </w:rPr>
              <w:t xml:space="preserve"> del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.</w:t>
            </w:r>
            <w:r>
              <w:rPr>
                <w:rStyle w:val="Ninguno"/>
              </w:rPr>
              <w:t xml:space="preserve"> Morata.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Ceberio</w:t>
            </w:r>
            <w:proofErr w:type="spellEnd"/>
            <w:r>
              <w:rPr>
                <w:rStyle w:val="Ninguno"/>
              </w:rPr>
              <w:t xml:space="preserve">, M. (1996). </w:t>
            </w:r>
            <w:r>
              <w:rPr>
                <w:rStyle w:val="Ninguno"/>
                <w:i/>
                <w:iCs/>
              </w:rPr>
              <w:t xml:space="preserve">Fenómenos </w:t>
            </w:r>
            <w:proofErr w:type="gramStart"/>
            <w:r>
              <w:rPr>
                <w:rStyle w:val="Ninguno"/>
                <w:i/>
                <w:iCs/>
              </w:rPr>
              <w:t>Especiales .</w:t>
            </w:r>
            <w:proofErr w:type="gramEnd"/>
            <w:r>
              <w:rPr>
                <w:rStyle w:val="Ninguno"/>
              </w:rPr>
              <w:t xml:space="preserve"> Buenos </w:t>
            </w:r>
            <w:proofErr w:type="gramStart"/>
            <w:r>
              <w:rPr>
                <w:rStyle w:val="Ninguno"/>
              </w:rPr>
              <w:t>Aires :</w:t>
            </w:r>
            <w:proofErr w:type="gramEnd"/>
            <w:r>
              <w:rPr>
                <w:rStyle w:val="Ninguno"/>
              </w:rPr>
              <w:t xml:space="preserve"> Ediciones Culturales Universitarias Argentina.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Gravenhorst</w:t>
            </w:r>
            <w:proofErr w:type="spellEnd"/>
            <w:r>
              <w:rPr>
                <w:rStyle w:val="Ninguno"/>
              </w:rPr>
              <w:t xml:space="preserve">, M. (1996). </w:t>
            </w:r>
            <w:r>
              <w:rPr>
                <w:rStyle w:val="Ninguno"/>
                <w:i/>
                <w:iCs/>
              </w:rPr>
              <w:t xml:space="preserve">Los fenómenos especiales en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.</w:t>
            </w:r>
            <w:r>
              <w:rPr>
                <w:rStyle w:val="Ninguno"/>
              </w:rPr>
              <w:t xml:space="preserve"> Argentina: JVE Psique.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Hammer</w:t>
            </w:r>
            <w:proofErr w:type="spellEnd"/>
            <w:r>
              <w:rPr>
                <w:rStyle w:val="Ninguno"/>
              </w:rPr>
              <w:t xml:space="preserve">, E. (s.f.). </w:t>
            </w:r>
            <w:r>
              <w:rPr>
                <w:rStyle w:val="Ninguno"/>
                <w:i/>
                <w:iCs/>
              </w:rPr>
              <w:t>Test Proyectivos</w:t>
            </w:r>
            <w:r>
              <w:rPr>
                <w:rStyle w:val="Ninguno"/>
                <w:i/>
                <w:iCs/>
              </w:rPr>
              <w:t xml:space="preserve"> Gráficos.</w:t>
            </w:r>
            <w:r>
              <w:rPr>
                <w:rStyle w:val="Ninguno"/>
              </w:rPr>
              <w:t xml:space="preserve"> Buenos Aires: </w:t>
            </w:r>
            <w:proofErr w:type="spellStart"/>
            <w:r>
              <w:rPr>
                <w:rStyle w:val="Ninguno"/>
              </w:rPr>
              <w:t>Paidos</w:t>
            </w:r>
            <w:proofErr w:type="spellEnd"/>
            <w:r>
              <w:rPr>
                <w:rStyle w:val="Ninguno"/>
              </w:rPr>
              <w:t>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Juan </w:t>
            </w:r>
            <w:proofErr w:type="spellStart"/>
            <w:r>
              <w:rPr>
                <w:rStyle w:val="Ninguno"/>
              </w:rPr>
              <w:t>Dittborn</w:t>
            </w:r>
            <w:proofErr w:type="spellEnd"/>
            <w:r>
              <w:rPr>
                <w:rStyle w:val="Ninguno"/>
              </w:rPr>
              <w:t xml:space="preserve">, S. R. (2010). </w:t>
            </w:r>
            <w:proofErr w:type="spellStart"/>
            <w:r>
              <w:rPr>
                <w:rStyle w:val="Ninguno"/>
                <w:i/>
                <w:iCs/>
              </w:rPr>
              <w:t>Estucturas</w:t>
            </w:r>
            <w:proofErr w:type="spellEnd"/>
            <w:r>
              <w:rPr>
                <w:rStyle w:val="Ninguno"/>
                <w:i/>
                <w:iCs/>
              </w:rPr>
              <w:t xml:space="preserve"> </w:t>
            </w:r>
            <w:proofErr w:type="gramStart"/>
            <w:r>
              <w:rPr>
                <w:rStyle w:val="Ninguno"/>
                <w:i/>
                <w:iCs/>
              </w:rPr>
              <w:t>psicóticas ,</w:t>
            </w:r>
            <w:proofErr w:type="gramEnd"/>
            <w:r>
              <w:rPr>
                <w:rStyle w:val="Ninguno"/>
                <w:i/>
                <w:iCs/>
              </w:rPr>
              <w:t xml:space="preserve"> limítrofes y neuróticas de la personalidad en el test de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.</w:t>
            </w:r>
            <w:r>
              <w:rPr>
                <w:rStyle w:val="Ninguno"/>
              </w:rPr>
              <w:t xml:space="preserve"> Santiago: Mediterráneo.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Kacero</w:t>
            </w:r>
            <w:proofErr w:type="spellEnd"/>
            <w:r>
              <w:rPr>
                <w:rStyle w:val="Ninguno"/>
              </w:rPr>
              <w:t xml:space="preserve">, E. (2009).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: Transformaciones entre la imagen y la palabra.</w:t>
            </w:r>
            <w:r>
              <w:rPr>
                <w:rStyle w:val="Ninguno"/>
              </w:rPr>
              <w:t xml:space="preserve"> Buenos Aires: Lugar Editorial.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Ocampo, M. S., </w:t>
            </w:r>
            <w:proofErr w:type="spellStart"/>
            <w:r>
              <w:rPr>
                <w:rStyle w:val="Ninguno"/>
              </w:rPr>
              <w:t>Arceno</w:t>
            </w:r>
            <w:proofErr w:type="spellEnd"/>
            <w:r>
              <w:rPr>
                <w:rStyle w:val="Ninguno"/>
              </w:rPr>
              <w:t xml:space="preserve">, M. G., &amp; </w:t>
            </w:r>
            <w:proofErr w:type="spellStart"/>
            <w:r>
              <w:rPr>
                <w:rStyle w:val="Ninguno"/>
              </w:rPr>
              <w:t>Pícolo</w:t>
            </w:r>
            <w:proofErr w:type="spellEnd"/>
            <w:r>
              <w:rPr>
                <w:rStyle w:val="Ninguno"/>
              </w:rPr>
              <w:t xml:space="preserve">, E. G. (s.f.). </w:t>
            </w:r>
            <w:r>
              <w:rPr>
                <w:rStyle w:val="Ninguno"/>
                <w:i/>
                <w:iCs/>
              </w:rPr>
              <w:t xml:space="preserve">Técnicas proyectivas y el proceso </w:t>
            </w:r>
            <w:proofErr w:type="spellStart"/>
            <w:r>
              <w:rPr>
                <w:rStyle w:val="Ninguno"/>
                <w:i/>
                <w:iCs/>
              </w:rPr>
              <w:t>Psicodiagnóstico</w:t>
            </w:r>
            <w:proofErr w:type="spellEnd"/>
            <w:r>
              <w:rPr>
                <w:rStyle w:val="Ninguno"/>
                <w:i/>
                <w:iCs/>
              </w:rPr>
              <w:t>.</w:t>
            </w:r>
            <w:r>
              <w:rPr>
                <w:rStyle w:val="Ninguno"/>
              </w:rPr>
              <w:t xml:space="preserve"> Buenos Aires: Nueva Visión.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Piccone</w:t>
            </w:r>
            <w:proofErr w:type="spellEnd"/>
            <w:r>
              <w:rPr>
                <w:rStyle w:val="Ninguno"/>
              </w:rPr>
              <w:t xml:space="preserve"> Anabela, P. A. (s.f.). Algunas observaciones para evaluar las funciones </w:t>
            </w:r>
            <w:proofErr w:type="spellStart"/>
            <w:r>
              <w:rPr>
                <w:rStyle w:val="Ninguno"/>
              </w:rPr>
              <w:t>yoicas</w:t>
            </w:r>
            <w:proofErr w:type="spellEnd"/>
            <w:r>
              <w:rPr>
                <w:rStyle w:val="Ninguno"/>
              </w:rPr>
              <w:t xml:space="preserve"> de </w:t>
            </w:r>
            <w:r>
              <w:rPr>
                <w:rStyle w:val="Ninguno"/>
              </w:rPr>
              <w:t xml:space="preserve">realidad con aplicación de una técnica gráfica. </w:t>
            </w:r>
            <w:r>
              <w:rPr>
                <w:rStyle w:val="Ninguno"/>
                <w:i/>
                <w:iCs/>
              </w:rPr>
              <w:t>Anuario de Investigaciones</w:t>
            </w:r>
            <w:r>
              <w:rPr>
                <w:rStyle w:val="Ninguno"/>
              </w:rPr>
              <w:t>, 185-194.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Piccone</w:t>
            </w:r>
            <w:proofErr w:type="spellEnd"/>
            <w:r>
              <w:rPr>
                <w:rStyle w:val="Ninguno"/>
              </w:rPr>
              <w:t xml:space="preserve">, A. (2005). Potencial suicida en el test persona bajo la lluvia. </w:t>
            </w:r>
            <w:r>
              <w:rPr>
                <w:rStyle w:val="Ninguno"/>
                <w:i/>
                <w:iCs/>
              </w:rPr>
              <w:t xml:space="preserve">Anuario de </w:t>
            </w:r>
            <w:proofErr w:type="spellStart"/>
            <w:r>
              <w:rPr>
                <w:rStyle w:val="Ninguno"/>
                <w:i/>
                <w:iCs/>
              </w:rPr>
              <w:t>psicologia</w:t>
            </w:r>
            <w:proofErr w:type="spellEnd"/>
            <w:r>
              <w:rPr>
                <w:rStyle w:val="Ninguno"/>
                <w:i/>
                <w:iCs/>
              </w:rPr>
              <w:t xml:space="preserve"> </w:t>
            </w:r>
            <w:proofErr w:type="spellStart"/>
            <w:r>
              <w:rPr>
                <w:rStyle w:val="Ninguno"/>
                <w:i/>
                <w:iCs/>
              </w:rPr>
              <w:t>Vol</w:t>
            </w:r>
            <w:proofErr w:type="spellEnd"/>
            <w:r>
              <w:rPr>
                <w:rStyle w:val="Ninguno"/>
                <w:i/>
                <w:iCs/>
              </w:rPr>
              <w:t xml:space="preserve"> XII</w:t>
            </w:r>
            <w:r>
              <w:rPr>
                <w:rStyle w:val="Ninguno"/>
              </w:rPr>
              <w:t>, 289-296.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Pool, A. (2007, </w:t>
            </w:r>
            <w:proofErr w:type="spellStart"/>
            <w:r>
              <w:rPr>
                <w:rStyle w:val="Ninguno"/>
              </w:rPr>
              <w:t>Vol</w:t>
            </w:r>
            <w:proofErr w:type="spellEnd"/>
            <w:r>
              <w:rPr>
                <w:rStyle w:val="Ninguno"/>
              </w:rPr>
              <w:t xml:space="preserve"> 16, N° 2). Diagnóstico estructural a </w:t>
            </w:r>
            <w:r>
              <w:rPr>
                <w:rStyle w:val="Ninguno"/>
              </w:rPr>
              <w:t xml:space="preserve">través de la prueba persona bajo la lluvia en niños y niñas de 9 a11 años de edad, víctimas de agresiones sexuales crónicas. </w:t>
            </w:r>
            <w:proofErr w:type="spellStart"/>
            <w:r>
              <w:rPr>
                <w:rStyle w:val="Ninguno"/>
                <w:i/>
                <w:iCs/>
              </w:rPr>
              <w:t>Psykhe</w:t>
            </w:r>
            <w:proofErr w:type="spellEnd"/>
            <w:r>
              <w:rPr>
                <w:rStyle w:val="Ninguno"/>
              </w:rPr>
              <w:t>, 117-128.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Rodriguez</w:t>
            </w:r>
            <w:proofErr w:type="spellEnd"/>
            <w:r>
              <w:rPr>
                <w:rStyle w:val="Ninguno"/>
              </w:rPr>
              <w:t>, C. (2007). Evaluación de la personalidad y sus trastornos a través de métodos proyectivos o pruebas bas</w:t>
            </w:r>
            <w:r>
              <w:rPr>
                <w:rStyle w:val="Ninguno"/>
              </w:rPr>
              <w:t xml:space="preserve">adas en la actuación. </w:t>
            </w:r>
            <w:r>
              <w:rPr>
                <w:rStyle w:val="Ninguno"/>
                <w:i/>
                <w:iCs/>
              </w:rPr>
              <w:t xml:space="preserve">Clínica y Salud, </w:t>
            </w:r>
            <w:proofErr w:type="spellStart"/>
            <w:r>
              <w:rPr>
                <w:rStyle w:val="Ninguno"/>
                <w:i/>
                <w:iCs/>
              </w:rPr>
              <w:t>Vol</w:t>
            </w:r>
            <w:proofErr w:type="spellEnd"/>
            <w:r>
              <w:rPr>
                <w:rStyle w:val="Ninguno"/>
                <w:i/>
                <w:iCs/>
              </w:rPr>
              <w:t xml:space="preserve"> 18, N°3</w:t>
            </w:r>
            <w:r>
              <w:rPr>
                <w:rStyle w:val="Ninguno"/>
              </w:rPr>
              <w:t>, 325-346.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Rorschach</w:t>
            </w:r>
            <w:proofErr w:type="spellEnd"/>
            <w:r>
              <w:rPr>
                <w:rStyle w:val="Ninguno"/>
              </w:rPr>
              <w:t xml:space="preserve">, H. (2000). </w:t>
            </w:r>
            <w:proofErr w:type="spellStart"/>
            <w:r>
              <w:rPr>
                <w:rStyle w:val="Ninguno"/>
                <w:i/>
                <w:iCs/>
              </w:rPr>
              <w:t>Psicodiagnóstico</w:t>
            </w:r>
            <w:proofErr w:type="spellEnd"/>
            <w:r>
              <w:rPr>
                <w:rStyle w:val="Ninguno"/>
                <w:i/>
                <w:iCs/>
              </w:rPr>
              <w:t>: Una prueba diagnóstica basada en la percepción.</w:t>
            </w:r>
            <w:r>
              <w:rPr>
                <w:rStyle w:val="Ninguno"/>
              </w:rPr>
              <w:t xml:space="preserve"> </w:t>
            </w:r>
            <w:proofErr w:type="spellStart"/>
            <w:r>
              <w:rPr>
                <w:rStyle w:val="Ninguno"/>
              </w:rPr>
              <w:t>Mexico</w:t>
            </w:r>
            <w:proofErr w:type="spellEnd"/>
            <w:r>
              <w:rPr>
                <w:rStyle w:val="Ninguno"/>
              </w:rPr>
              <w:t>: Manual Moderno.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lastRenderedPageBreak/>
              <w:t xml:space="preserve">Silvia </w:t>
            </w:r>
            <w:proofErr w:type="spellStart"/>
            <w:r>
              <w:rPr>
                <w:rStyle w:val="Ninguno"/>
              </w:rPr>
              <w:t>Querol</w:t>
            </w:r>
            <w:proofErr w:type="spellEnd"/>
            <w:r>
              <w:rPr>
                <w:rStyle w:val="Ninguno"/>
              </w:rPr>
              <w:t xml:space="preserve">, M. C. (2005). </w:t>
            </w:r>
            <w:r>
              <w:rPr>
                <w:rStyle w:val="Ninguno"/>
                <w:i/>
                <w:iCs/>
              </w:rPr>
              <w:t xml:space="preserve">Test de la Persona bajo la lluvia: </w:t>
            </w:r>
            <w:proofErr w:type="spellStart"/>
            <w:r>
              <w:rPr>
                <w:rStyle w:val="Ninguno"/>
                <w:i/>
                <w:iCs/>
              </w:rPr>
              <w:t>Adapatación</w:t>
            </w:r>
            <w:proofErr w:type="spellEnd"/>
            <w:r>
              <w:rPr>
                <w:rStyle w:val="Ninguno"/>
                <w:i/>
                <w:iCs/>
              </w:rPr>
              <w:t xml:space="preserve"> y aplic</w:t>
            </w:r>
            <w:r>
              <w:rPr>
                <w:rStyle w:val="Ninguno"/>
                <w:i/>
                <w:iCs/>
              </w:rPr>
              <w:t>ación.</w:t>
            </w:r>
            <w:r>
              <w:rPr>
                <w:rStyle w:val="Ninguno"/>
              </w:rPr>
              <w:t xml:space="preserve"> Argentina: Lugar.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Silvia </w:t>
            </w:r>
            <w:proofErr w:type="spellStart"/>
            <w:r>
              <w:rPr>
                <w:rStyle w:val="Ninguno"/>
              </w:rPr>
              <w:t>Querol</w:t>
            </w:r>
            <w:proofErr w:type="spellEnd"/>
            <w:r>
              <w:rPr>
                <w:rStyle w:val="Ninguno"/>
              </w:rPr>
              <w:t xml:space="preserve">, S. A. (2008). </w:t>
            </w:r>
            <w:r>
              <w:rPr>
                <w:rStyle w:val="Ninguno"/>
                <w:i/>
                <w:iCs/>
              </w:rPr>
              <w:t xml:space="preserve">Evaluación laboral: Test de la persona bajo la lluvia y análisis </w:t>
            </w:r>
            <w:proofErr w:type="spellStart"/>
            <w:r>
              <w:rPr>
                <w:rStyle w:val="Ninguno"/>
                <w:i/>
                <w:iCs/>
              </w:rPr>
              <w:t>grafológicodel</w:t>
            </w:r>
            <w:proofErr w:type="spellEnd"/>
            <w:r>
              <w:rPr>
                <w:rStyle w:val="Ninguno"/>
                <w:i/>
                <w:iCs/>
              </w:rPr>
              <w:t xml:space="preserve"> </w:t>
            </w:r>
            <w:proofErr w:type="gramStart"/>
            <w:r>
              <w:rPr>
                <w:rStyle w:val="Ninguno"/>
                <w:i/>
                <w:iCs/>
              </w:rPr>
              <w:t>relato .</w:t>
            </w:r>
            <w:proofErr w:type="gramEnd"/>
            <w:r>
              <w:rPr>
                <w:rStyle w:val="Ninguno"/>
              </w:rPr>
              <w:t xml:space="preserve"> Buenos Aires: Lugar.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Warren., J. N. (s.f.). </w:t>
            </w:r>
            <w:r>
              <w:rPr>
                <w:rStyle w:val="Ninguno"/>
                <w:i/>
                <w:iCs/>
              </w:rPr>
              <w:t xml:space="preserve">Manual de interpretación del test casa, </w:t>
            </w:r>
            <w:proofErr w:type="spellStart"/>
            <w:r>
              <w:rPr>
                <w:rStyle w:val="Ninguno"/>
                <w:i/>
                <w:iCs/>
              </w:rPr>
              <w:t>arbol</w:t>
            </w:r>
            <w:proofErr w:type="spellEnd"/>
            <w:r>
              <w:rPr>
                <w:rStyle w:val="Ninguno"/>
                <w:i/>
                <w:iCs/>
              </w:rPr>
              <w:t>, persona.</w:t>
            </w:r>
            <w:r>
              <w:rPr>
                <w:rStyle w:val="Ninguno"/>
              </w:rPr>
              <w:t xml:space="preserve"> España: Tea E</w:t>
            </w:r>
            <w:r>
              <w:rPr>
                <w:rStyle w:val="Ninguno"/>
              </w:rPr>
              <w:t>diciones.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Weigle</w:t>
            </w:r>
            <w:proofErr w:type="spellEnd"/>
            <w:r>
              <w:rPr>
                <w:rStyle w:val="Ninguno"/>
              </w:rPr>
              <w:t xml:space="preserve">, C. (2007). </w:t>
            </w:r>
            <w:r>
              <w:rPr>
                <w:rStyle w:val="Ninguno"/>
                <w:i/>
                <w:iCs/>
              </w:rPr>
              <w:t xml:space="preserve">Cómo interpretar el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: Su articulación con el psicoanálisis.</w:t>
            </w:r>
            <w:r>
              <w:rPr>
                <w:rStyle w:val="Ninguno"/>
              </w:rPr>
              <w:t xml:space="preserve"> Buenos Aires: Gráfica </w:t>
            </w:r>
            <w:proofErr w:type="spellStart"/>
            <w:r>
              <w:rPr>
                <w:rStyle w:val="Ninguno"/>
              </w:rPr>
              <w:t>Printer</w:t>
            </w:r>
            <w:proofErr w:type="spellEnd"/>
            <w:r>
              <w:rPr>
                <w:rStyle w:val="Ninguno"/>
              </w:rPr>
              <w:t xml:space="preserve"> S.A.</w:t>
            </w:r>
          </w:p>
          <w:p w:rsidR="00B3193B" w:rsidRDefault="00261712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Zegers</w:t>
            </w:r>
            <w:proofErr w:type="spellEnd"/>
            <w:r>
              <w:rPr>
                <w:rStyle w:val="Ninguno"/>
              </w:rPr>
              <w:t xml:space="preserve">, B. (1996). El </w:t>
            </w:r>
            <w:proofErr w:type="spellStart"/>
            <w:r>
              <w:rPr>
                <w:rStyle w:val="Ninguno"/>
              </w:rPr>
              <w:t>Rorschach</w:t>
            </w:r>
            <w:proofErr w:type="spellEnd"/>
            <w:r>
              <w:rPr>
                <w:rStyle w:val="Ninguno"/>
              </w:rPr>
              <w:t xml:space="preserve">: Una técnica para medir personalidad. </w:t>
            </w:r>
            <w:proofErr w:type="spellStart"/>
            <w:r>
              <w:rPr>
                <w:rStyle w:val="Ninguno"/>
                <w:i/>
                <w:iCs/>
              </w:rPr>
              <w:t>Psyke</w:t>
            </w:r>
            <w:proofErr w:type="spellEnd"/>
            <w:r>
              <w:rPr>
                <w:rStyle w:val="Ninguno"/>
                <w:i/>
                <w:iCs/>
              </w:rPr>
              <w:t xml:space="preserve">, </w:t>
            </w:r>
            <w:proofErr w:type="spellStart"/>
            <w:r>
              <w:rPr>
                <w:rStyle w:val="Ninguno"/>
                <w:i/>
                <w:iCs/>
              </w:rPr>
              <w:t>vol</w:t>
            </w:r>
            <w:proofErr w:type="spellEnd"/>
            <w:r>
              <w:rPr>
                <w:rStyle w:val="Ninguno"/>
                <w:i/>
                <w:iCs/>
              </w:rPr>
              <w:t xml:space="preserve"> 5, N° 1</w:t>
            </w:r>
            <w:r>
              <w:rPr>
                <w:rStyle w:val="Ninguno"/>
              </w:rPr>
              <w:t>, 23-38.</w:t>
            </w:r>
          </w:p>
          <w:p w:rsidR="00B3193B" w:rsidRDefault="00B3193B">
            <w:pPr>
              <w:rPr>
                <w:rStyle w:val="Ninguno"/>
              </w:rPr>
            </w:pPr>
          </w:p>
          <w:p w:rsidR="00B3193B" w:rsidRDefault="00261712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http://www.scielo.org</w:t>
            </w:r>
          </w:p>
          <w:p w:rsidR="00B3193B" w:rsidRDefault="00B3193B">
            <w:pPr>
              <w:spacing w:after="0" w:line="240" w:lineRule="auto"/>
              <w:jc w:val="both"/>
              <w:rPr>
                <w:rStyle w:val="Ninguno"/>
                <w:b/>
                <w:bCs/>
                <w:sz w:val="24"/>
                <w:szCs w:val="24"/>
              </w:rPr>
            </w:pPr>
          </w:p>
          <w:p w:rsidR="00B3193B" w:rsidRDefault="00261712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b/>
                <w:bCs/>
                <w:sz w:val="24"/>
                <w:szCs w:val="24"/>
              </w:rPr>
              <w:t>Otros recursos:</w:t>
            </w:r>
          </w:p>
          <w:p w:rsidR="00B3193B" w:rsidRDefault="00261712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Pizarra blanca</w:t>
            </w:r>
          </w:p>
          <w:p w:rsidR="00B3193B" w:rsidRDefault="00261712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Plumones para pizarra</w:t>
            </w:r>
          </w:p>
          <w:p w:rsidR="00B3193B" w:rsidRDefault="00261712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Data</w:t>
            </w:r>
          </w:p>
          <w:p w:rsidR="00B3193B" w:rsidRDefault="00261712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PC o Notebook</w:t>
            </w:r>
          </w:p>
          <w:p w:rsidR="00B3193B" w:rsidRDefault="00B3193B">
            <w:pPr>
              <w:spacing w:after="0" w:line="240" w:lineRule="auto"/>
              <w:jc w:val="both"/>
            </w:pPr>
          </w:p>
        </w:tc>
      </w:tr>
    </w:tbl>
    <w:p w:rsidR="00B3193B" w:rsidRDefault="00B3193B">
      <w:pPr>
        <w:widowControl w:val="0"/>
        <w:spacing w:line="240" w:lineRule="auto"/>
        <w:ind w:left="108" w:hanging="108"/>
        <w:jc w:val="both"/>
      </w:pPr>
    </w:p>
    <w:sectPr w:rsidR="00B3193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712" w:rsidRDefault="00261712">
      <w:pPr>
        <w:spacing w:after="0" w:line="240" w:lineRule="auto"/>
      </w:pPr>
      <w:r>
        <w:separator/>
      </w:r>
    </w:p>
  </w:endnote>
  <w:endnote w:type="continuationSeparator" w:id="0">
    <w:p w:rsidR="00261712" w:rsidRDefault="0026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93B" w:rsidRDefault="00B3193B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712" w:rsidRDefault="00261712">
      <w:pPr>
        <w:spacing w:after="0" w:line="240" w:lineRule="auto"/>
      </w:pPr>
      <w:r>
        <w:separator/>
      </w:r>
    </w:p>
  </w:footnote>
  <w:footnote w:type="continuationSeparator" w:id="0">
    <w:p w:rsidR="00261712" w:rsidRDefault="00261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93B" w:rsidRDefault="00261712">
    <w:pPr>
      <w:pStyle w:val="Sinespaciado"/>
      <w:jc w:val="center"/>
    </w:pPr>
    <w:r>
      <w:rPr>
        <w:noProof/>
        <w:lang w:val="es-CL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948055</wp:posOffset>
          </wp:positionH>
          <wp:positionV relativeFrom="page">
            <wp:posOffset>173990</wp:posOffset>
          </wp:positionV>
          <wp:extent cx="744220" cy="748031"/>
          <wp:effectExtent l="0" t="0" r="0" b="0"/>
          <wp:wrapNone/>
          <wp:docPr id="1073741825" name="officeArt object" descr="Descripción: ud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escripción: uda.jpg" descr="Descripción: uda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7480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>Universidad de Atacama</w:t>
    </w:r>
  </w:p>
  <w:p w:rsidR="00B3193B" w:rsidRDefault="00261712">
    <w:pPr>
      <w:pStyle w:val="Sinespaciado"/>
      <w:jc w:val="center"/>
    </w:pPr>
    <w:r>
      <w:t xml:space="preserve">Vicerrectoría Académica </w:t>
    </w:r>
  </w:p>
  <w:p w:rsidR="00B3193B" w:rsidRDefault="00261712">
    <w:pPr>
      <w:pStyle w:val="Sinespaciado"/>
      <w:jc w:val="center"/>
    </w:pPr>
    <w:r>
      <w:t>Facultad de Humanidades y Educación</w:t>
    </w:r>
  </w:p>
  <w:p w:rsidR="00B3193B" w:rsidRDefault="00261712">
    <w:pPr>
      <w:pStyle w:val="Sinespaciado"/>
      <w:pBdr>
        <w:bottom w:val="single" w:sz="12" w:space="0" w:color="000000"/>
      </w:pBdr>
      <w:jc w:val="center"/>
    </w:pPr>
    <w:proofErr w:type="gramStart"/>
    <w:r>
      <w:t>Departamento  de</w:t>
    </w:r>
    <w:proofErr w:type="gramEnd"/>
    <w:r>
      <w:t xml:space="preserve"> Psicologí</w:t>
    </w:r>
    <w: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46E31"/>
    <w:multiLevelType w:val="hybridMultilevel"/>
    <w:tmpl w:val="476A4596"/>
    <w:lvl w:ilvl="0" w:tplc="150845BC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34748E">
      <w:start w:val="1"/>
      <w:numFmt w:val="bullet"/>
      <w:lvlText w:val="o"/>
      <w:lvlJc w:val="left"/>
      <w:pPr>
        <w:ind w:left="97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F4835C">
      <w:start w:val="1"/>
      <w:numFmt w:val="bullet"/>
      <w:lvlText w:val="▪"/>
      <w:lvlJc w:val="left"/>
      <w:pPr>
        <w:ind w:left="169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E6A6D8">
      <w:start w:val="1"/>
      <w:numFmt w:val="bullet"/>
      <w:lvlText w:val="•"/>
      <w:lvlJc w:val="left"/>
      <w:pPr>
        <w:ind w:left="24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EEE160">
      <w:start w:val="1"/>
      <w:numFmt w:val="bullet"/>
      <w:lvlText w:val="o"/>
      <w:lvlJc w:val="left"/>
      <w:pPr>
        <w:ind w:left="313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8EBF82">
      <w:start w:val="1"/>
      <w:numFmt w:val="bullet"/>
      <w:lvlText w:val="▪"/>
      <w:lvlJc w:val="left"/>
      <w:pPr>
        <w:ind w:left="385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7032AA">
      <w:start w:val="1"/>
      <w:numFmt w:val="bullet"/>
      <w:lvlText w:val="•"/>
      <w:lvlJc w:val="left"/>
      <w:pPr>
        <w:ind w:left="457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9A495E">
      <w:start w:val="1"/>
      <w:numFmt w:val="bullet"/>
      <w:lvlText w:val="o"/>
      <w:lvlJc w:val="left"/>
      <w:pPr>
        <w:ind w:left="529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C2A01A">
      <w:start w:val="1"/>
      <w:numFmt w:val="bullet"/>
      <w:lvlText w:val="▪"/>
      <w:lvlJc w:val="left"/>
      <w:pPr>
        <w:ind w:left="60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A765D03"/>
    <w:multiLevelType w:val="hybridMultilevel"/>
    <w:tmpl w:val="0F8609D2"/>
    <w:lvl w:ilvl="0" w:tplc="150A7300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78556C">
      <w:start w:val="1"/>
      <w:numFmt w:val="bullet"/>
      <w:lvlText w:val="o"/>
      <w:lvlJc w:val="left"/>
      <w:pPr>
        <w:ind w:left="97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18C3D6">
      <w:start w:val="1"/>
      <w:numFmt w:val="bullet"/>
      <w:lvlText w:val="▪"/>
      <w:lvlJc w:val="left"/>
      <w:pPr>
        <w:ind w:left="169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82517C">
      <w:start w:val="1"/>
      <w:numFmt w:val="bullet"/>
      <w:lvlText w:val="•"/>
      <w:lvlJc w:val="left"/>
      <w:pPr>
        <w:ind w:left="24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FC6390">
      <w:start w:val="1"/>
      <w:numFmt w:val="bullet"/>
      <w:lvlText w:val="o"/>
      <w:lvlJc w:val="left"/>
      <w:pPr>
        <w:ind w:left="313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64AF2">
      <w:start w:val="1"/>
      <w:numFmt w:val="bullet"/>
      <w:lvlText w:val="▪"/>
      <w:lvlJc w:val="left"/>
      <w:pPr>
        <w:ind w:left="385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E8658E">
      <w:start w:val="1"/>
      <w:numFmt w:val="bullet"/>
      <w:lvlText w:val="•"/>
      <w:lvlJc w:val="left"/>
      <w:pPr>
        <w:ind w:left="457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A89F72">
      <w:start w:val="1"/>
      <w:numFmt w:val="bullet"/>
      <w:lvlText w:val="o"/>
      <w:lvlJc w:val="left"/>
      <w:pPr>
        <w:ind w:left="529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F8DFFE">
      <w:start w:val="1"/>
      <w:numFmt w:val="bullet"/>
      <w:lvlText w:val="▪"/>
      <w:lvlJc w:val="left"/>
      <w:pPr>
        <w:ind w:left="60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F4B430D"/>
    <w:multiLevelType w:val="hybridMultilevel"/>
    <w:tmpl w:val="3A181684"/>
    <w:lvl w:ilvl="0" w:tplc="03120E28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7E669E">
      <w:start w:val="1"/>
      <w:numFmt w:val="bullet"/>
      <w:lvlText w:val="o"/>
      <w:lvlJc w:val="left"/>
      <w:pPr>
        <w:ind w:left="97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EE95E8">
      <w:start w:val="1"/>
      <w:numFmt w:val="bullet"/>
      <w:lvlText w:val="▪"/>
      <w:lvlJc w:val="left"/>
      <w:pPr>
        <w:ind w:left="169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EE54FA">
      <w:start w:val="1"/>
      <w:numFmt w:val="bullet"/>
      <w:lvlText w:val="•"/>
      <w:lvlJc w:val="left"/>
      <w:pPr>
        <w:ind w:left="241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300C86">
      <w:start w:val="1"/>
      <w:numFmt w:val="bullet"/>
      <w:lvlText w:val="o"/>
      <w:lvlJc w:val="left"/>
      <w:pPr>
        <w:ind w:left="313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00193E">
      <w:start w:val="1"/>
      <w:numFmt w:val="bullet"/>
      <w:lvlText w:val="▪"/>
      <w:lvlJc w:val="left"/>
      <w:pPr>
        <w:ind w:left="385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B8E6AE">
      <w:start w:val="1"/>
      <w:numFmt w:val="bullet"/>
      <w:lvlText w:val="•"/>
      <w:lvlJc w:val="left"/>
      <w:pPr>
        <w:ind w:left="457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E44DEC">
      <w:start w:val="1"/>
      <w:numFmt w:val="bullet"/>
      <w:lvlText w:val="o"/>
      <w:lvlJc w:val="left"/>
      <w:pPr>
        <w:ind w:left="529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445612">
      <w:start w:val="1"/>
      <w:numFmt w:val="bullet"/>
      <w:lvlText w:val="▪"/>
      <w:lvlJc w:val="left"/>
      <w:pPr>
        <w:ind w:left="601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9487A35"/>
    <w:multiLevelType w:val="hybridMultilevel"/>
    <w:tmpl w:val="4ED6C384"/>
    <w:lvl w:ilvl="0" w:tplc="39A61FD4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ECE12C">
      <w:start w:val="1"/>
      <w:numFmt w:val="bullet"/>
      <w:lvlText w:val="o"/>
      <w:lvlJc w:val="left"/>
      <w:pPr>
        <w:ind w:left="97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D66AB0">
      <w:start w:val="1"/>
      <w:numFmt w:val="bullet"/>
      <w:lvlText w:val="▪"/>
      <w:lvlJc w:val="left"/>
      <w:pPr>
        <w:ind w:left="169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22280E">
      <w:start w:val="1"/>
      <w:numFmt w:val="bullet"/>
      <w:lvlText w:val="•"/>
      <w:lvlJc w:val="left"/>
      <w:pPr>
        <w:ind w:left="241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8C6E2A">
      <w:start w:val="1"/>
      <w:numFmt w:val="bullet"/>
      <w:lvlText w:val="o"/>
      <w:lvlJc w:val="left"/>
      <w:pPr>
        <w:ind w:left="313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4C52E4">
      <w:start w:val="1"/>
      <w:numFmt w:val="bullet"/>
      <w:lvlText w:val="▪"/>
      <w:lvlJc w:val="left"/>
      <w:pPr>
        <w:ind w:left="385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10712E">
      <w:start w:val="1"/>
      <w:numFmt w:val="bullet"/>
      <w:lvlText w:val="•"/>
      <w:lvlJc w:val="left"/>
      <w:pPr>
        <w:ind w:left="457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CB208">
      <w:start w:val="1"/>
      <w:numFmt w:val="bullet"/>
      <w:lvlText w:val="o"/>
      <w:lvlJc w:val="left"/>
      <w:pPr>
        <w:ind w:left="529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965462">
      <w:start w:val="1"/>
      <w:numFmt w:val="bullet"/>
      <w:lvlText w:val="▪"/>
      <w:lvlJc w:val="left"/>
      <w:pPr>
        <w:ind w:left="601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3B"/>
    <w:rsid w:val="000C7E9D"/>
    <w:rsid w:val="00261712"/>
    <w:rsid w:val="00B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28C4720-1C02-4228-9E5A-7FC1AA55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tulo1">
    <w:name w:val="heading 1"/>
    <w:next w:val="Normal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Ninguno">
    <w:name w:val="Ninguno"/>
    <w:rPr>
      <w:lang w:val="es-ES_tradnl"/>
    </w:rPr>
  </w:style>
  <w:style w:type="paragraph" w:styleId="Prrafodelista">
    <w:name w:val="List Paragraph"/>
    <w:pPr>
      <w:spacing w:after="200" w:line="276" w:lineRule="auto"/>
      <w:ind w:left="708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Bibliografa">
    <w:name w:val="Bibliography"/>
    <w:next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Ardiles Gonzalez</dc:creator>
  <cp:lastModifiedBy>Hernan Ardiles Gonzalez</cp:lastModifiedBy>
  <cp:revision>2</cp:revision>
  <dcterms:created xsi:type="dcterms:W3CDTF">2019-06-25T12:42:00Z</dcterms:created>
  <dcterms:modified xsi:type="dcterms:W3CDTF">2019-06-25T12:42:00Z</dcterms:modified>
</cp:coreProperties>
</file>