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DD1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DD1" w:rsidRPr="000E27BC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7BC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A00DD1" w:rsidRPr="000E27BC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DD1" w:rsidRPr="000E27BC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7BC">
        <w:rPr>
          <w:rFonts w:ascii="Times New Roman" w:hAnsi="Times New Roman" w:cs="Times New Roman"/>
          <w:b/>
          <w:sz w:val="24"/>
          <w:szCs w:val="24"/>
        </w:rPr>
        <w:t>CLÍNICA DE SERVICIOS GINECO OBSTÉTRICOS I</w:t>
      </w:r>
    </w:p>
    <w:p w:rsidR="00A00DD1" w:rsidRPr="000E27BC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DD1" w:rsidRDefault="00A00DD1" w:rsidP="00A00DD1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A00DD1" w:rsidRPr="00A22406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A00DD1" w:rsidRPr="00A22406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D33">
              <w:rPr>
                <w:rFonts w:ascii="Times New Roman" w:hAnsi="Times New Roman" w:cs="Times New Roman"/>
                <w:sz w:val="24"/>
                <w:szCs w:val="24"/>
              </w:rPr>
              <w:t>CS11401</w:t>
            </w:r>
          </w:p>
        </w:tc>
      </w:tr>
      <w:tr w:rsidR="00A00DD1" w:rsidRPr="00A22406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A00DD1" w:rsidRPr="00963D82" w:rsidRDefault="00A00DD1" w:rsidP="00986053">
            <w:pPr>
              <w:tabs>
                <w:tab w:val="left" w:pos="3630"/>
                <w:tab w:val="center" w:pos="42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A00DD1" w:rsidRPr="00A22406" w:rsidTr="004F644B">
        <w:trPr>
          <w:gridAfter w:val="1"/>
          <w:wAfter w:w="8" w:type="dxa"/>
          <w:trHeight w:val="803"/>
        </w:trPr>
        <w:tc>
          <w:tcPr>
            <w:tcW w:w="1588" w:type="dxa"/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A00DD1" w:rsidRPr="00963D82" w:rsidRDefault="00A025D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3"/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A00DD1" w:rsidRPr="00963D82" w:rsidRDefault="00A025D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00DD1" w:rsidRPr="00A22406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DD1" w:rsidRPr="00A22406" w:rsidTr="0098605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00DD1" w:rsidRPr="00963D82" w:rsidRDefault="00A00DD1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00DD1" w:rsidRPr="00963D82" w:rsidRDefault="00A00DD1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A00DD1" w:rsidRPr="00963D82" w:rsidRDefault="00A00DD1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3D82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00DD1" w:rsidRPr="00963D82" w:rsidRDefault="00A00DD1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963D82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DD1" w:rsidRPr="00A22406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A00DD1" w:rsidRPr="00963D82" w:rsidRDefault="00A00DD1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DD1" w:rsidRPr="00A22406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A71B21" w:rsidRPr="00D178EB" w:rsidRDefault="00963D82" w:rsidP="009B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Asignatura práctica, </w:t>
            </w:r>
            <w:r w:rsidR="00A00DD1" w:rsidRPr="00D178EB">
              <w:rPr>
                <w:rFonts w:ascii="Times New Roman" w:hAnsi="Times New Roman" w:cs="Times New Roman"/>
                <w:sz w:val="24"/>
                <w:szCs w:val="24"/>
              </w:rPr>
              <w:t>del área  clínico asistencial</w:t>
            </w:r>
            <w:r w:rsidR="00A71B21"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, en la que el estudiante integrará aprendizajes previos </w:t>
            </w:r>
            <w:r w:rsidR="00EA0687"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desarrollados en asignaturas del ciclo de formación </w:t>
            </w:r>
            <w:r w:rsidR="005F54FC" w:rsidRPr="00D178EB">
              <w:rPr>
                <w:rFonts w:ascii="Times New Roman" w:hAnsi="Times New Roman" w:cs="Times New Roman"/>
                <w:sz w:val="24"/>
                <w:szCs w:val="24"/>
              </w:rPr>
              <w:t>general y especialidad, específicamente en áreas d</w:t>
            </w:r>
            <w:r w:rsidR="007D37E6"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D178EB" w:rsidRPr="00D178EB">
              <w:rPr>
                <w:rFonts w:ascii="Times New Roman" w:hAnsi="Times New Roman" w:cs="Times New Roman"/>
                <w:sz w:val="24"/>
                <w:szCs w:val="24"/>
              </w:rPr>
              <w:t>obstetricia y ginecología.</w:t>
            </w:r>
          </w:p>
          <w:p w:rsidR="00A00DD1" w:rsidRDefault="005F54FC" w:rsidP="009B6AA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En esta </w:t>
            </w:r>
            <w:r w:rsidR="00F86F99" w:rsidRPr="00D178EB">
              <w:rPr>
                <w:rFonts w:ascii="Times New Roman" w:hAnsi="Times New Roman" w:cs="Times New Roman"/>
                <w:sz w:val="24"/>
                <w:szCs w:val="24"/>
              </w:rPr>
              <w:t>asignatura</w:t>
            </w:r>
            <w:r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 el estudiante se enfrentará por primera vez a </w:t>
            </w:r>
            <w:r w:rsidR="00F86F99"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la experiencia de trabajo en un establecimiento hospitalario, </w:t>
            </w:r>
            <w:r w:rsidR="005F3640"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desarrollando el proceso de atención desde el proceso de consulta de urgencia de la mujer en servicio de maternidad, </w:t>
            </w:r>
            <w:r w:rsidR="00305C11"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pasando por la atención de prepartos, partos y unidad de puerperio. Para esto el estudiante deberá desarrollar competencias comunicacionales y relacionales efectivas, gestión y liderazgo, </w:t>
            </w:r>
            <w:r w:rsidR="00C323BF" w:rsidRPr="00D178EB">
              <w:rPr>
                <w:rFonts w:ascii="Times New Roman" w:hAnsi="Times New Roman" w:cs="Times New Roman"/>
                <w:sz w:val="24"/>
                <w:szCs w:val="24"/>
              </w:rPr>
              <w:t xml:space="preserve">como las específicas </w:t>
            </w:r>
            <w:r w:rsidR="009B6AA2" w:rsidRPr="00D178EB">
              <w:rPr>
                <w:rFonts w:ascii="Times New Roman" w:hAnsi="Times New Roman" w:cs="Times New Roman"/>
                <w:sz w:val="24"/>
                <w:szCs w:val="24"/>
              </w:rPr>
              <w:t>de la disciplina.</w:t>
            </w:r>
          </w:p>
          <w:p w:rsidR="009B6AA2" w:rsidRPr="00963D82" w:rsidRDefault="009B6AA2" w:rsidP="004F64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DD1" w:rsidRPr="00A22406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A00DD1" w:rsidRPr="00A22406" w:rsidRDefault="00A00DD1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A00DD1" w:rsidRPr="004F644B" w:rsidRDefault="00CF3630" w:rsidP="004F644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Integración Profesional.</w:t>
            </w:r>
          </w:p>
          <w:p w:rsidR="00A00DD1" w:rsidRPr="004F644B" w:rsidRDefault="00A00DD1" w:rsidP="004F644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Atención Primaria Ginecológica</w:t>
            </w:r>
            <w:r w:rsidR="00CF3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0DD1" w:rsidRPr="00A22406" w:rsidRDefault="00A00DD1" w:rsidP="009860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A22406" w:rsidRDefault="00A00DD1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644B" w:rsidRDefault="004F644B" w:rsidP="00A00DD1">
      <w:pPr>
        <w:jc w:val="both"/>
        <w:rPr>
          <w:rFonts w:ascii="Times New Roman" w:hAnsi="Times New Roman" w:cs="Times New Roman"/>
          <w:b/>
          <w:sz w:val="20"/>
          <w:szCs w:val="18"/>
        </w:rPr>
      </w:pPr>
    </w:p>
    <w:p w:rsidR="009B6AA2" w:rsidRDefault="009B6AA2" w:rsidP="00A00DD1">
      <w:pPr>
        <w:jc w:val="both"/>
        <w:rPr>
          <w:rFonts w:ascii="Times New Roman" w:hAnsi="Times New Roman" w:cs="Times New Roman"/>
          <w:b/>
          <w:sz w:val="20"/>
          <w:szCs w:val="18"/>
        </w:rPr>
      </w:pPr>
    </w:p>
    <w:p w:rsidR="009B6AA2" w:rsidRDefault="009B6AA2" w:rsidP="00A00DD1">
      <w:pPr>
        <w:jc w:val="both"/>
        <w:rPr>
          <w:rFonts w:ascii="Times New Roman" w:hAnsi="Times New Roman" w:cs="Times New Roman"/>
          <w:b/>
          <w:sz w:val="20"/>
          <w:szCs w:val="18"/>
        </w:rPr>
      </w:pPr>
    </w:p>
    <w:p w:rsidR="00A00DD1" w:rsidRPr="0060244B" w:rsidRDefault="004F644B" w:rsidP="00A00D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Aporte</w:t>
      </w:r>
      <w:r w:rsidR="00A00DD1" w:rsidRPr="0060244B">
        <w:rPr>
          <w:rFonts w:ascii="Times New Roman" w:hAnsi="Times New Roman" w:cs="Times New Roman"/>
          <w:b/>
          <w:sz w:val="24"/>
          <w:szCs w:val="24"/>
        </w:rPr>
        <w:t xml:space="preserve">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00DD1" w:rsidRPr="00544A29" w:rsidTr="00986053">
        <w:tc>
          <w:tcPr>
            <w:tcW w:w="9214" w:type="dxa"/>
          </w:tcPr>
          <w:p w:rsidR="00A00DD1" w:rsidRDefault="00A00DD1" w:rsidP="004F644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4F644B">
              <w:rPr>
                <w:rFonts w:ascii="Times New Roman" w:hAnsi="Times New Roman" w:cs="Times New Roman"/>
                <w:sz w:val="24"/>
              </w:rPr>
              <w:t xml:space="preserve">La asignatura de Clínica de Servicios </w:t>
            </w:r>
            <w:proofErr w:type="spellStart"/>
            <w:r w:rsidRPr="004F644B">
              <w:rPr>
                <w:rFonts w:ascii="Times New Roman" w:hAnsi="Times New Roman" w:cs="Times New Roman"/>
                <w:sz w:val="24"/>
              </w:rPr>
              <w:t>Gineco</w:t>
            </w:r>
            <w:proofErr w:type="spellEnd"/>
            <w:r w:rsidR="00AB2F31">
              <w:rPr>
                <w:rFonts w:ascii="Times New Roman" w:hAnsi="Times New Roman" w:cs="Times New Roman"/>
                <w:sz w:val="24"/>
              </w:rPr>
              <w:t>-</w:t>
            </w:r>
            <w:r w:rsidRPr="004F644B">
              <w:rPr>
                <w:rFonts w:ascii="Times New Roman" w:hAnsi="Times New Roman" w:cs="Times New Roman"/>
                <w:sz w:val="24"/>
              </w:rPr>
              <w:t>obstétricos I, aporta al desarrollo de las siguientes competencias genéricas y especificas del perfil de egreso:</w:t>
            </w:r>
          </w:p>
          <w:p w:rsidR="009B6AA2" w:rsidRPr="004F644B" w:rsidRDefault="009B6AA2" w:rsidP="004F644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00DD1" w:rsidRPr="004F644B" w:rsidRDefault="00A00DD1" w:rsidP="004F644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4F644B">
              <w:rPr>
                <w:rFonts w:ascii="Times New Roman" w:hAnsi="Times New Roman" w:cs="Times New Roman"/>
                <w:sz w:val="24"/>
              </w:rPr>
              <w:t>Competencias genéricas :</w:t>
            </w:r>
          </w:p>
          <w:p w:rsidR="00A00DD1" w:rsidRPr="004F644B" w:rsidRDefault="00A00DD1" w:rsidP="004F644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00DD1" w:rsidRPr="004F644B" w:rsidRDefault="00A00DD1" w:rsidP="004F644B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4F644B">
              <w:rPr>
                <w:rFonts w:ascii="Times New Roman" w:hAnsi="Times New Roman" w:cs="Times New Roman"/>
                <w:sz w:val="24"/>
              </w:rPr>
              <w:t>Capacidad para liderar y tomar decisiones.</w:t>
            </w:r>
          </w:p>
          <w:p w:rsidR="00A00DD1" w:rsidRPr="004F644B" w:rsidRDefault="00A00DD1" w:rsidP="004F644B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4F644B">
              <w:rPr>
                <w:rFonts w:ascii="Times New Roman" w:hAnsi="Times New Roman" w:cs="Times New Roman"/>
                <w:sz w:val="24"/>
              </w:rPr>
              <w:t>Conocimientos sobre el área de estudio de la profesión.</w:t>
            </w:r>
          </w:p>
          <w:p w:rsidR="00A00DD1" w:rsidRPr="004F644B" w:rsidRDefault="00A00DD1" w:rsidP="004F644B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4F644B">
              <w:rPr>
                <w:rFonts w:ascii="Times New Roman" w:hAnsi="Times New Roman" w:cs="Times New Roman"/>
                <w:sz w:val="24"/>
              </w:rPr>
              <w:t>Capacidad de aplicar innovadoramente el conocimiento a la práctica.</w:t>
            </w:r>
          </w:p>
          <w:p w:rsidR="00A00DD1" w:rsidRPr="004F644B" w:rsidRDefault="00A00DD1" w:rsidP="004F644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B6AA2" w:rsidRDefault="009B6AA2" w:rsidP="009B6A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9B6AA2" w:rsidRPr="009F49E1" w:rsidRDefault="009B6AA2" w:rsidP="009B6A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6AA2" w:rsidRPr="009F49E1" w:rsidRDefault="009B6AA2" w:rsidP="009B6A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9B6AA2" w:rsidRDefault="009B6AA2" w:rsidP="009B6AA2">
            <w:pPr>
              <w:pStyle w:val="Normal1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C3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9B6AA2" w:rsidRPr="009F49E1" w:rsidRDefault="009B6AA2" w:rsidP="009B6AA2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9B6AA2" w:rsidRDefault="009B6AA2" w:rsidP="009B6AA2">
            <w:pPr>
              <w:pStyle w:val="Normal1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A00DD1" w:rsidRPr="004F644B" w:rsidRDefault="00A00DD1" w:rsidP="004F644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00DD1" w:rsidRPr="00650734" w:rsidRDefault="00A00DD1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</w:tbl>
    <w:p w:rsidR="00A00DD1" w:rsidRDefault="00A00DD1" w:rsidP="00A00D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0DD1" w:rsidRPr="0060244B" w:rsidRDefault="00A00DD1" w:rsidP="00A00D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A00DD1" w:rsidRPr="0060244B" w:rsidTr="00986053">
        <w:tc>
          <w:tcPr>
            <w:tcW w:w="9214" w:type="dxa"/>
            <w:gridSpan w:val="3"/>
          </w:tcPr>
          <w:p w:rsidR="00D0133F" w:rsidRDefault="00D0133F" w:rsidP="00D0133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 w:rsidR="0092384F">
              <w:rPr>
                <w:rFonts w:ascii="Times New Roman" w:hAnsi="Times New Roman" w:cs="Times New Roman"/>
                <w:sz w:val="24"/>
                <w:szCs w:val="24"/>
              </w:rPr>
              <w:t xml:space="preserve">Clínica de Servicios </w:t>
            </w:r>
            <w:proofErr w:type="spellStart"/>
            <w:r w:rsidR="0092384F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="0092384F">
              <w:rPr>
                <w:rFonts w:ascii="Times New Roman" w:hAnsi="Times New Roman" w:cs="Times New Roman"/>
                <w:sz w:val="24"/>
                <w:szCs w:val="24"/>
              </w:rPr>
              <w:t xml:space="preserve"> Obstétricos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contribuirá al desarrollo de las siguientes competencias: </w:t>
            </w:r>
          </w:p>
          <w:p w:rsidR="00D0133F" w:rsidRDefault="00D0133F" w:rsidP="00D0133F">
            <w:pPr>
              <w:spacing w:after="0" w:line="240" w:lineRule="auto"/>
              <w:jc w:val="both"/>
              <w:rPr>
                <w:rFonts w:ascii="Footlight MT Light" w:hAnsi="Footlight MT Light"/>
                <w:sz w:val="24"/>
                <w:szCs w:val="24"/>
              </w:rPr>
            </w:pPr>
          </w:p>
          <w:p w:rsidR="00D0133F" w:rsidRPr="0092384F" w:rsidRDefault="00D0133F" w:rsidP="00D0133F">
            <w:pPr>
              <w:numPr>
                <w:ilvl w:val="0"/>
                <w:numId w:val="2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>Brinda</w:t>
            </w:r>
            <w:r w:rsidR="0092384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 xml:space="preserve"> atención holística a la mujer en </w:t>
            </w:r>
            <w:r w:rsidR="0092384F">
              <w:rPr>
                <w:rFonts w:ascii="Times New Roman" w:hAnsi="Times New Roman" w:cs="Times New Roman"/>
                <w:sz w:val="24"/>
                <w:szCs w:val="24"/>
              </w:rPr>
              <w:t>la et</w:t>
            </w:r>
            <w:r w:rsidR="00FB0B3A">
              <w:rPr>
                <w:rFonts w:ascii="Times New Roman" w:hAnsi="Times New Roman" w:cs="Times New Roman"/>
                <w:sz w:val="24"/>
                <w:szCs w:val="24"/>
              </w:rPr>
              <w:t>apa de trabajo de parto, parto, puerperio y procesos de atención ginecológicos.</w:t>
            </w:r>
          </w:p>
          <w:p w:rsidR="00201A9C" w:rsidRPr="0092384F" w:rsidRDefault="00D0133F" w:rsidP="00201A9C">
            <w:pPr>
              <w:numPr>
                <w:ilvl w:val="0"/>
                <w:numId w:val="2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92384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 xml:space="preserve"> en forma oportuna alteraciones de los procesos fisiológicos </w:t>
            </w:r>
            <w:r w:rsidR="0092384F">
              <w:rPr>
                <w:rFonts w:ascii="Times New Roman" w:hAnsi="Times New Roman" w:cs="Times New Roman"/>
                <w:sz w:val="24"/>
                <w:szCs w:val="24"/>
              </w:rPr>
              <w:t>del trab</w:t>
            </w:r>
            <w:r w:rsidR="00201A9C">
              <w:rPr>
                <w:rFonts w:ascii="Times New Roman" w:hAnsi="Times New Roman" w:cs="Times New Roman"/>
                <w:sz w:val="24"/>
                <w:szCs w:val="24"/>
              </w:rPr>
              <w:t>ajo de parto, parto y puerperio, y procesos de atención ginecológicos.</w:t>
            </w:r>
          </w:p>
          <w:p w:rsidR="00D0133F" w:rsidRDefault="00D0133F" w:rsidP="00D0133F">
            <w:pPr>
              <w:numPr>
                <w:ilvl w:val="0"/>
                <w:numId w:val="2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84F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clínicos asistenciales de acuerdo </w:t>
            </w:r>
            <w:r w:rsidR="00201A9C">
              <w:rPr>
                <w:rFonts w:ascii="Times New Roman" w:hAnsi="Times New Roman" w:cs="Times New Roman"/>
                <w:sz w:val="24"/>
                <w:szCs w:val="24"/>
              </w:rPr>
              <w:t>a la regulación del marco legal en el contexto de las unidades de urg</w:t>
            </w:r>
            <w:r w:rsidR="00E8507D">
              <w:rPr>
                <w:rFonts w:ascii="Times New Roman" w:hAnsi="Times New Roman" w:cs="Times New Roman"/>
                <w:sz w:val="24"/>
                <w:szCs w:val="24"/>
              </w:rPr>
              <w:t>encia de maternidad, prepartos, partos y puerperio.</w:t>
            </w:r>
          </w:p>
          <w:p w:rsidR="00D0133F" w:rsidRDefault="00D0133F" w:rsidP="00201A9C">
            <w:pPr>
              <w:numPr>
                <w:ilvl w:val="0"/>
                <w:numId w:val="2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1A9C">
              <w:rPr>
                <w:rFonts w:ascii="Times New Roman" w:hAnsi="Times New Roman" w:cs="Times New Roman"/>
                <w:sz w:val="24"/>
                <w:szCs w:val="24"/>
              </w:rPr>
              <w:t xml:space="preserve">Entrega atención de urgencia en forma eficiente en todas las etapas del proceso de salud sexual y </w:t>
            </w:r>
            <w:proofErr w:type="gramStart"/>
            <w:r w:rsidRPr="00201A9C">
              <w:rPr>
                <w:rFonts w:ascii="Times New Roman" w:hAnsi="Times New Roman" w:cs="Times New Roman"/>
                <w:sz w:val="24"/>
                <w:szCs w:val="24"/>
              </w:rPr>
              <w:t>reproductivo</w:t>
            </w:r>
            <w:proofErr w:type="gramEnd"/>
            <w:r w:rsidRPr="00201A9C">
              <w:rPr>
                <w:rFonts w:ascii="Times New Roman" w:hAnsi="Times New Roman" w:cs="Times New Roman"/>
                <w:sz w:val="24"/>
                <w:szCs w:val="24"/>
              </w:rPr>
              <w:t xml:space="preserve"> en la mujer</w:t>
            </w:r>
            <w:r w:rsidR="00300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133F" w:rsidRPr="00300BDE" w:rsidRDefault="00D0133F" w:rsidP="00D0133F">
            <w:pPr>
              <w:numPr>
                <w:ilvl w:val="0"/>
                <w:numId w:val="2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BDE">
              <w:rPr>
                <w:rFonts w:ascii="Times New Roman" w:hAnsi="Times New Roman" w:cs="Times New Roman"/>
                <w:sz w:val="24"/>
                <w:szCs w:val="24"/>
              </w:rPr>
              <w:t>Demuestra actitud de respeto a la persona humana</w:t>
            </w:r>
            <w:r w:rsidR="00300BDE">
              <w:rPr>
                <w:rFonts w:ascii="Times New Roman" w:hAnsi="Times New Roman" w:cs="Times New Roman"/>
                <w:sz w:val="24"/>
                <w:szCs w:val="24"/>
              </w:rPr>
              <w:t xml:space="preserve"> y principios </w:t>
            </w:r>
            <w:proofErr w:type="spellStart"/>
            <w:r w:rsidR="00300BDE"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 w:rsidR="00300B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507D" w:rsidRDefault="00D0133F" w:rsidP="00E8507D">
            <w:pPr>
              <w:numPr>
                <w:ilvl w:val="0"/>
                <w:numId w:val="2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D79">
              <w:rPr>
                <w:rFonts w:ascii="Times New Roman" w:hAnsi="Times New Roman" w:cs="Times New Roman"/>
                <w:sz w:val="24"/>
                <w:szCs w:val="24"/>
              </w:rPr>
              <w:t xml:space="preserve">Planifica, ejecuta y evalúa intervenciones educativas individuales y grupales </w:t>
            </w:r>
            <w:r w:rsidR="00E8507D">
              <w:rPr>
                <w:rFonts w:ascii="Times New Roman" w:hAnsi="Times New Roman" w:cs="Times New Roman"/>
                <w:sz w:val="24"/>
                <w:szCs w:val="24"/>
              </w:rPr>
              <w:t>en unidad de puerperio.</w:t>
            </w:r>
          </w:p>
          <w:p w:rsidR="00FC1939" w:rsidRPr="00383844" w:rsidRDefault="00E8507D" w:rsidP="00383844">
            <w:pPr>
              <w:numPr>
                <w:ilvl w:val="0"/>
                <w:numId w:val="21"/>
              </w:num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507D">
              <w:rPr>
                <w:rFonts w:ascii="Times New Roman" w:hAnsi="Times New Roman" w:cs="Times New Roman"/>
                <w:sz w:val="24"/>
                <w:szCs w:val="24"/>
              </w:rPr>
              <w:t xml:space="preserve">Reconocer la importancia de la gestión del cuidado en la </w:t>
            </w:r>
            <w:r w:rsidR="00383844">
              <w:rPr>
                <w:rFonts w:ascii="Times New Roman" w:hAnsi="Times New Roman" w:cs="Times New Roman"/>
                <w:sz w:val="24"/>
                <w:szCs w:val="24"/>
              </w:rPr>
              <w:t>atención de la mujer en las unidades de urgencia de maternidad, prepartos, partos y puerperio.</w:t>
            </w:r>
          </w:p>
        </w:tc>
      </w:tr>
      <w:tr w:rsidR="00A00DD1" w:rsidRPr="0060244B" w:rsidTr="00986053">
        <w:tc>
          <w:tcPr>
            <w:tcW w:w="3828" w:type="dxa"/>
          </w:tcPr>
          <w:p w:rsidR="00A00DD1" w:rsidRPr="004F644B" w:rsidRDefault="00A00DD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A00DD1" w:rsidRPr="004F644B" w:rsidRDefault="00A00DD1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A00DD1" w:rsidRPr="004F644B" w:rsidRDefault="00A00DD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A00DD1" w:rsidRPr="0060244B" w:rsidTr="0014420B">
        <w:trPr>
          <w:trHeight w:val="344"/>
        </w:trPr>
        <w:tc>
          <w:tcPr>
            <w:tcW w:w="3828" w:type="dxa"/>
            <w:shd w:val="clear" w:color="auto" w:fill="FFFFFF" w:themeFill="background1"/>
          </w:tcPr>
          <w:p w:rsidR="00A00DD1" w:rsidRDefault="004F644B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I. </w:t>
            </w:r>
            <w:r w:rsidR="00A00DD1" w:rsidRPr="004F644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Urgencia</w:t>
            </w:r>
            <w:r w:rsidRPr="004F644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de Maternidad.</w:t>
            </w:r>
          </w:p>
          <w:p w:rsidR="00E80C19" w:rsidRPr="004F644B" w:rsidRDefault="00E80C19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F644B" w:rsidRPr="0014420B" w:rsidRDefault="004F644B" w:rsidP="00AD263F">
            <w:pPr>
              <w:shd w:val="clear" w:color="auto" w:fill="FFFFFF" w:themeFill="background1"/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AB2F31" w:rsidRPr="0014420B" w:rsidRDefault="004F644B" w:rsidP="00AD263F">
            <w:pPr>
              <w:pStyle w:val="Prrafodelista"/>
              <w:numPr>
                <w:ilvl w:val="0"/>
                <w:numId w:val="15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 xml:space="preserve">Atención de urgencia de paciente </w:t>
            </w:r>
            <w:proofErr w:type="spellStart"/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- obstétrica.</w:t>
            </w:r>
          </w:p>
          <w:p w:rsidR="00AB2F31" w:rsidRPr="0014420B" w:rsidRDefault="0014420B" w:rsidP="00AD263F">
            <w:pPr>
              <w:pStyle w:val="Prrafodelista"/>
              <w:numPr>
                <w:ilvl w:val="0"/>
                <w:numId w:val="15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Diagn</w:t>
            </w:r>
            <w:r w:rsidR="00AB2F31" w:rsidRPr="0014420B">
              <w:rPr>
                <w:rFonts w:ascii="Times New Roman" w:hAnsi="Times New Roman" w:cs="Times New Roman"/>
                <w:sz w:val="24"/>
                <w:szCs w:val="24"/>
              </w:rPr>
              <w:t>óstico de la usuaria en la unidad de urgencia maternal.</w:t>
            </w:r>
          </w:p>
          <w:p w:rsidR="004F644B" w:rsidRPr="0014420B" w:rsidRDefault="004F644B" w:rsidP="00AD263F">
            <w:pPr>
              <w:pStyle w:val="Prrafodelista"/>
              <w:numPr>
                <w:ilvl w:val="0"/>
                <w:numId w:val="15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Monitorización fetal.</w:t>
            </w:r>
          </w:p>
          <w:p w:rsidR="0014420B" w:rsidRDefault="00AB2F31" w:rsidP="0014420B">
            <w:pPr>
              <w:pStyle w:val="Prrafodelista"/>
              <w:numPr>
                <w:ilvl w:val="0"/>
                <w:numId w:val="15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 xml:space="preserve">Procedimientos </w:t>
            </w:r>
          </w:p>
          <w:p w:rsidR="004F644B" w:rsidRPr="0014420B" w:rsidRDefault="004F644B" w:rsidP="0014420B">
            <w:pPr>
              <w:pStyle w:val="Prrafodelista"/>
              <w:numPr>
                <w:ilvl w:val="0"/>
                <w:numId w:val="15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Exámenes de urgencia.</w:t>
            </w:r>
          </w:p>
        </w:tc>
        <w:tc>
          <w:tcPr>
            <w:tcW w:w="283" w:type="dxa"/>
            <w:vMerge/>
          </w:tcPr>
          <w:p w:rsidR="00A00DD1" w:rsidRPr="004F644B" w:rsidRDefault="00A00DD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4F644B" w:rsidRDefault="004F644B" w:rsidP="004F644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experiencia clínica</w:t>
            </w:r>
            <w:r w:rsidRPr="004F644B">
              <w:rPr>
                <w:rFonts w:ascii="Times New Roman" w:hAnsi="Times New Roman" w:cs="Times New Roman"/>
                <w:sz w:val="24"/>
                <w:szCs w:val="24"/>
              </w:rPr>
              <w:t>, el  alumno:</w:t>
            </w:r>
          </w:p>
          <w:p w:rsidR="00E80C19" w:rsidRDefault="00E80C19" w:rsidP="004F644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Default="004F644B" w:rsidP="004F644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Reconoce</w:t>
            </w:r>
            <w:r w:rsidR="00A00DD1" w:rsidRPr="004F64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los diferentes conceptos y técnicas en relación a </w:t>
            </w:r>
            <w:r w:rsidR="00AC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Semiología Clínica </w:t>
            </w:r>
            <w:proofErr w:type="spellStart"/>
            <w:r w:rsidR="00AC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Gineco</w:t>
            </w:r>
            <w:proofErr w:type="spellEnd"/>
            <w:r w:rsidR="00AC6B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-obstétrica.</w:t>
            </w:r>
          </w:p>
          <w:p w:rsidR="00D67E50" w:rsidRPr="00D67E50" w:rsidRDefault="00D67E50" w:rsidP="00D67E5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 </w:t>
            </w:r>
            <w:r w:rsidRPr="004F64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los diferentes conceptos y técnicas en relación 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Semiología Clínica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Gineco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-obstétrica.</w:t>
            </w:r>
          </w:p>
          <w:p w:rsidR="00AC6BE4" w:rsidRDefault="00AC6BE4" w:rsidP="00AC6BE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 situaciones de urgencia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Gineco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-obstétrica </w:t>
            </w:r>
            <w:r w:rsidR="00C45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patologías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 la mujer consultante.</w:t>
            </w:r>
          </w:p>
          <w:p w:rsidR="00743DA4" w:rsidRPr="00D67E50" w:rsidRDefault="00743DA4" w:rsidP="004F644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7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Evalúa </w:t>
            </w:r>
            <w:r w:rsidR="00D67E50" w:rsidRPr="00D67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estado de salud de la </w:t>
            </w:r>
            <w:r w:rsidRPr="00D67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mujer gestante </w:t>
            </w:r>
            <w:r w:rsidR="00A00DD1" w:rsidRPr="00D67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</w:t>
            </w:r>
            <w:r w:rsidR="00D67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ingreso a la unidad de urgencia.</w:t>
            </w:r>
          </w:p>
          <w:p w:rsidR="00D67E50" w:rsidRDefault="00D67E50" w:rsidP="004F644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 hipótesis diagnó</w:t>
            </w:r>
            <w:r w:rsidR="00A00DD1" w:rsidRPr="00743D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stica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la mujer de acuerdo a la evaluación realizada.</w:t>
            </w:r>
          </w:p>
          <w:p w:rsidR="00A00DD1" w:rsidRPr="00D67E50" w:rsidRDefault="00D67E50" w:rsidP="00D67E5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A00DD1" w:rsidRPr="00D67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rinda el manejo inmediato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mujer consultante </w:t>
            </w:r>
            <w:r w:rsidR="00A00DD1" w:rsidRPr="00D67E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según protocolos del servicio.</w:t>
            </w:r>
          </w:p>
          <w:p w:rsidR="00A00DD1" w:rsidRPr="004F644B" w:rsidRDefault="00A00DD1" w:rsidP="00C45A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00DD1" w:rsidRPr="0060244B" w:rsidTr="00986053">
        <w:trPr>
          <w:trHeight w:val="182"/>
        </w:trPr>
        <w:tc>
          <w:tcPr>
            <w:tcW w:w="3828" w:type="dxa"/>
          </w:tcPr>
          <w:p w:rsidR="00C45A8D" w:rsidRDefault="00C45A8D" w:rsidP="00C45A8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4F644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I.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de Prepartos y parto.</w:t>
            </w:r>
          </w:p>
          <w:p w:rsidR="00C45A8D" w:rsidRPr="004F644B" w:rsidRDefault="00C45A8D" w:rsidP="00C45A8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45A8D" w:rsidRPr="0014420B" w:rsidRDefault="00C45A8D" w:rsidP="0014420B">
            <w:pPr>
              <w:shd w:val="clear" w:color="auto" w:fill="FFFFFF" w:themeFill="background1"/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C45A8D" w:rsidRPr="0014420B" w:rsidRDefault="00C45A8D" w:rsidP="0014420B">
            <w:pPr>
              <w:pStyle w:val="Prrafodelista"/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Atención de la gestante en la unidad de prepartos.</w:t>
            </w:r>
          </w:p>
          <w:p w:rsidR="00C45A8D" w:rsidRPr="0014420B" w:rsidRDefault="00AB2F31" w:rsidP="0014420B">
            <w:pPr>
              <w:pStyle w:val="Prrafodelista"/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Manejo del trabajo de parto.</w:t>
            </w:r>
          </w:p>
          <w:p w:rsidR="00AB2F31" w:rsidRPr="0014420B" w:rsidRDefault="0014420B" w:rsidP="0014420B">
            <w:pPr>
              <w:pStyle w:val="Prrafodelista"/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B2F31" w:rsidRPr="0014420B">
              <w:rPr>
                <w:rFonts w:ascii="Times New Roman" w:hAnsi="Times New Roman" w:cs="Times New Roman"/>
                <w:sz w:val="24"/>
                <w:szCs w:val="24"/>
              </w:rPr>
              <w:t>anejo de inducción conducción y TTC</w:t>
            </w:r>
          </w:p>
          <w:p w:rsidR="00153428" w:rsidRPr="0014420B" w:rsidRDefault="00153428" w:rsidP="0014420B">
            <w:pPr>
              <w:pStyle w:val="Prrafodelista"/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Atención de Parto fisiológico</w:t>
            </w:r>
          </w:p>
          <w:p w:rsidR="00C45A8D" w:rsidRPr="0014420B" w:rsidRDefault="00C45A8D" w:rsidP="0014420B">
            <w:pPr>
              <w:pStyle w:val="Prrafodelista"/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Exámenes</w:t>
            </w:r>
          </w:p>
          <w:p w:rsidR="00C45A8D" w:rsidRPr="0014420B" w:rsidRDefault="00C45A8D" w:rsidP="0014420B">
            <w:pPr>
              <w:pStyle w:val="Prrafodelista"/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Procedimientos del trabajo de parto.</w:t>
            </w:r>
          </w:p>
          <w:p w:rsidR="00C45A8D" w:rsidRPr="0014420B" w:rsidRDefault="00AB2F31" w:rsidP="0014420B">
            <w:pPr>
              <w:pStyle w:val="Prrafodelista"/>
              <w:numPr>
                <w:ilvl w:val="0"/>
                <w:numId w:val="16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Monitorización electrónica fetal.</w:t>
            </w:r>
          </w:p>
          <w:p w:rsidR="00A00DD1" w:rsidRPr="00C45A8D" w:rsidRDefault="00A00DD1" w:rsidP="00AB2F31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A00DD1" w:rsidRPr="004F644B" w:rsidRDefault="00A00DD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C45A8D" w:rsidRDefault="00C45A8D" w:rsidP="00C45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5A8D">
              <w:rPr>
                <w:rFonts w:ascii="Times New Roman" w:hAnsi="Times New Roman" w:cs="Times New Roman"/>
                <w:sz w:val="24"/>
                <w:szCs w:val="24"/>
              </w:rPr>
              <w:t>Al término de la unidad,  en su experiencia de simulación y experiencia clínica, el  alumno:</w:t>
            </w:r>
          </w:p>
          <w:p w:rsidR="00954373" w:rsidRPr="00C45A8D" w:rsidRDefault="00954373" w:rsidP="00C45A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77152" w:rsidRPr="00277152" w:rsidRDefault="00277152" w:rsidP="002771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Conoce las normas de atención del parto y recién nacido  según guías perinatales MINSAL.</w:t>
            </w:r>
          </w:p>
          <w:p w:rsidR="00063FF5" w:rsidRDefault="00063FF5" w:rsidP="00A00D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3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Evalúa a </w:t>
            </w:r>
            <w:r w:rsidR="00A00DD1" w:rsidRPr="00063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Pr="00063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mujer </w:t>
            </w:r>
            <w:r w:rsidR="00A00DD1" w:rsidRPr="00063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gestante en </w:t>
            </w:r>
            <w:r w:rsidRPr="00063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unidad de preparto y parto.</w:t>
            </w:r>
          </w:p>
          <w:p w:rsidR="00A00DD1" w:rsidRDefault="00063FF5" w:rsidP="00A00D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3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Realiza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 de</w:t>
            </w:r>
            <w:r w:rsidR="00A00DD1" w:rsidRPr="00063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plan de atención según necesidades de cada usuaria.</w:t>
            </w:r>
          </w:p>
          <w:p w:rsidR="00A00DD1" w:rsidRPr="004F644B" w:rsidRDefault="00063FF5" w:rsidP="00A00D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Dirige </w:t>
            </w:r>
            <w:r w:rsidR="00A00DD1" w:rsidRPr="004F64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progreso del trabajo de parto fisiológico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 la unidad de prepartos.</w:t>
            </w:r>
          </w:p>
          <w:p w:rsidR="00063FF5" w:rsidRDefault="00C64F14" w:rsidP="00A00D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Ejecuta procedimientos de atención del trabajo de parto fisiológico.</w:t>
            </w:r>
          </w:p>
          <w:p w:rsidR="00A00DD1" w:rsidRDefault="005F544F" w:rsidP="00A00D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 </w:t>
            </w:r>
            <w:r w:rsidR="00A00DD1" w:rsidRPr="004F64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alteraciones 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 trabajo de parto  y expulsivo en la gestante.</w:t>
            </w:r>
          </w:p>
          <w:p w:rsidR="00A00DD1" w:rsidRPr="005F544F" w:rsidRDefault="005F544F" w:rsidP="005F544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acciones pertinentes </w:t>
            </w:r>
            <w:r w:rsidR="00A00DD1" w:rsidRPr="005F5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ante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="00A00DD1" w:rsidRPr="005F5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emergencia obstétrica dura</w:t>
            </w:r>
            <w:r w:rsidR="005872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nte el trabajo de parto y parto.</w:t>
            </w:r>
          </w:p>
          <w:p w:rsidR="00A00DD1" w:rsidRPr="004F644B" w:rsidRDefault="005F544F" w:rsidP="00A00D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 </w:t>
            </w:r>
            <w:r w:rsidR="00A00DD1" w:rsidRPr="004F64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conocimientos de farmacología necesarios para este periodo.</w:t>
            </w:r>
          </w:p>
          <w:p w:rsidR="00A00DD1" w:rsidRPr="007A5A50" w:rsidRDefault="007A5A50" w:rsidP="007A5A5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Registra</w:t>
            </w:r>
            <w:r w:rsidR="00A00DD1" w:rsidRPr="004F64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documentos </w:t>
            </w:r>
            <w:r w:rsidR="00A00DD1" w:rsidRPr="007A5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clínicos relacionados con  las pacientes </w:t>
            </w:r>
            <w:proofErr w:type="spellStart"/>
            <w:r w:rsidR="00A00DD1" w:rsidRPr="007A5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gineco</w:t>
            </w:r>
            <w:proofErr w:type="spellEnd"/>
            <w:r w:rsidR="00A00DD1" w:rsidRPr="007A5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-obstétricas</w:t>
            </w:r>
            <w:r w:rsidR="00277152" w:rsidRPr="007A5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00DD1" w:rsidRPr="004F644B" w:rsidRDefault="00A00DD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00DD1" w:rsidRPr="0060244B" w:rsidTr="00986053">
        <w:trPr>
          <w:trHeight w:val="151"/>
        </w:trPr>
        <w:tc>
          <w:tcPr>
            <w:tcW w:w="3828" w:type="dxa"/>
          </w:tcPr>
          <w:p w:rsidR="00151B3E" w:rsidRDefault="00151B3E" w:rsidP="00151B3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644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Unidad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II.</w:t>
            </w:r>
            <w:r w:rsidRPr="004F644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de Puerperio.</w:t>
            </w:r>
          </w:p>
          <w:p w:rsidR="00151B3E" w:rsidRPr="004F644B" w:rsidRDefault="00151B3E" w:rsidP="00151B3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51B3E" w:rsidRPr="0014420B" w:rsidRDefault="00151B3E" w:rsidP="00151B3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A00DD1" w:rsidRDefault="00AB2F31" w:rsidP="00F979F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Valoración de la Puérpera en la Unidad de recuperación y hospitalización.</w:t>
            </w:r>
          </w:p>
          <w:p w:rsidR="00F979F7" w:rsidRDefault="00AB2F31" w:rsidP="00F979F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Técnicas de lactancia materna </w:t>
            </w:r>
          </w:p>
          <w:p w:rsidR="00AB2F31" w:rsidRDefault="00AB2F31" w:rsidP="00F979F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Toma de exámenes.</w:t>
            </w:r>
          </w:p>
          <w:p w:rsidR="00AB2F31" w:rsidRDefault="00AB2F31" w:rsidP="00F979F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Beneficios del Chile Crece Contigo</w:t>
            </w:r>
          </w:p>
          <w:p w:rsidR="00AB2F31" w:rsidRPr="00F979F7" w:rsidRDefault="00AB2F31" w:rsidP="00F979F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Educación.</w:t>
            </w:r>
          </w:p>
        </w:tc>
        <w:tc>
          <w:tcPr>
            <w:tcW w:w="283" w:type="dxa"/>
            <w:vMerge/>
          </w:tcPr>
          <w:p w:rsidR="00A00DD1" w:rsidRPr="004F644B" w:rsidRDefault="00A00DD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E025A" w:rsidRDefault="00EE025A" w:rsidP="00EE02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5A8D">
              <w:rPr>
                <w:rFonts w:ascii="Times New Roman" w:hAnsi="Times New Roman" w:cs="Times New Roman"/>
                <w:sz w:val="24"/>
                <w:szCs w:val="24"/>
              </w:rPr>
              <w:t xml:space="preserve">Al término de la unidad,  en su experiencia de simulación y experiencia clínica, el  </w:t>
            </w:r>
            <w:r w:rsidRPr="0014420B">
              <w:rPr>
                <w:rFonts w:ascii="Times New Roman" w:hAnsi="Times New Roman" w:cs="Times New Roman"/>
                <w:sz w:val="24"/>
                <w:szCs w:val="24"/>
              </w:rPr>
              <w:t>alumno:</w:t>
            </w:r>
          </w:p>
          <w:p w:rsidR="00EE025A" w:rsidRDefault="00EE025A" w:rsidP="00EE02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824" w:rsidRDefault="00266824" w:rsidP="00A00DD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Realiza atención de la gestante en la unidad de puerperio inmediato y mediato. </w:t>
            </w:r>
          </w:p>
          <w:p w:rsidR="00266824" w:rsidRDefault="004D5381" w:rsidP="00A00DD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Evalúa el estado de salud de la puérpera en sus dimensiones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biosicosocial</w:t>
            </w:r>
            <w:r w:rsidR="008A77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60E4E" w:rsidRPr="00D60E4E" w:rsidRDefault="00D60E4E" w:rsidP="00D60E4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Registra</w:t>
            </w:r>
            <w:r w:rsidRPr="004F64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documentos </w:t>
            </w:r>
            <w:r w:rsidRPr="007A5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clínicos relacionados con  las pacientes </w:t>
            </w:r>
            <w:proofErr w:type="spellStart"/>
            <w:r w:rsidRPr="007A5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gineco</w:t>
            </w:r>
            <w:proofErr w:type="spellEnd"/>
            <w:r w:rsidRPr="007A5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-obstétricas.</w:t>
            </w:r>
          </w:p>
          <w:p w:rsidR="0013150F" w:rsidRDefault="00B75601" w:rsidP="0013150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Educa en forma </w:t>
            </w:r>
            <w:r w:rsidR="007A5A50" w:rsidRPr="001315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grupal e individual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7A5A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puérperas y familia.</w:t>
            </w:r>
          </w:p>
          <w:p w:rsidR="00D60E4E" w:rsidRPr="00D60E4E" w:rsidRDefault="007A12E0" w:rsidP="0013150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 procedimientos de toma de exámenes y procedimientos pertinentes a la atención de la mujer en unidad de puerperio.</w:t>
            </w:r>
          </w:p>
          <w:p w:rsidR="0013150F" w:rsidRDefault="0013150F" w:rsidP="0013150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 </w:t>
            </w:r>
            <w:r w:rsidRPr="004F64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conocimientos de farmacología necesarios para este periodo.</w:t>
            </w:r>
          </w:p>
          <w:p w:rsidR="007A5A50" w:rsidRDefault="00B75601" w:rsidP="008A77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56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Entrega indicaciones a la mujer en el alta de la unidad de puerperio.</w:t>
            </w:r>
          </w:p>
          <w:p w:rsidR="00D30E00" w:rsidRPr="00B75601" w:rsidRDefault="00940FFD" w:rsidP="008A77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Gestiona procesos del Sistema Chile crece contigo pertinentes a la mujer en la unidad de puerperio.</w:t>
            </w:r>
          </w:p>
          <w:p w:rsidR="00A00DD1" w:rsidRPr="004F644B" w:rsidRDefault="00A00DD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00DD1" w:rsidRDefault="00A00DD1" w:rsidP="00A00D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0DD1" w:rsidRPr="0060244B" w:rsidRDefault="00A00DD1" w:rsidP="00A00D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00DD1" w:rsidRPr="0060244B" w:rsidTr="00986053">
        <w:tc>
          <w:tcPr>
            <w:tcW w:w="9214" w:type="dxa"/>
          </w:tcPr>
          <w:p w:rsidR="00072F77" w:rsidRDefault="00072F77" w:rsidP="00BE59A6">
            <w:pPr>
              <w:tabs>
                <w:tab w:val="center" w:pos="4445"/>
              </w:tabs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  <w:r w:rsidR="00BE59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E59A6" w:rsidRDefault="00BE59A6" w:rsidP="00BE59A6">
            <w:pPr>
              <w:tabs>
                <w:tab w:val="center" w:pos="4445"/>
              </w:tabs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F77" w:rsidRPr="00A7459C" w:rsidRDefault="00072F77" w:rsidP="00072F7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>Laboratorio de Simulación</w:t>
            </w:r>
            <w:r w:rsidR="00BE59A6" w:rsidRPr="00A7459C">
              <w:rPr>
                <w:rFonts w:ascii="Times New Roman" w:hAnsi="Times New Roman" w:cs="Times New Roman"/>
                <w:sz w:val="24"/>
                <w:szCs w:val="24"/>
              </w:rPr>
              <w:t>: 4</w:t>
            </w:r>
            <w:r w:rsidR="00162BAC"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 en media jornada, previo a su práctica clínica, corresponde al </w:t>
            </w:r>
            <w:r w:rsidR="00A7459C" w:rsidRPr="00A745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377B" w:rsidRPr="00A745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>% de la nota final</w:t>
            </w:r>
            <w:r w:rsidR="00162BAC"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A025D4" w:rsidRPr="00A745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62BAC" w:rsidRPr="00A7459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  <w:r w:rsidR="00BE59A6" w:rsidRPr="00A745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59A6" w:rsidRPr="00A7459C" w:rsidRDefault="00BE59A6" w:rsidP="00BE59A6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377B" w:rsidRPr="00A7459C" w:rsidRDefault="00072F77" w:rsidP="00072F7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</w:t>
            </w:r>
          </w:p>
          <w:p w:rsidR="00072F77" w:rsidRPr="00A7459C" w:rsidRDefault="00E6377B" w:rsidP="00E6377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>Unidad de Urgencia: 2</w:t>
            </w:r>
            <w:r w:rsidR="00072F77"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 semanas (lunes a jueves) en media jornada, corresponde al </w:t>
            </w:r>
            <w:r w:rsidR="00A7459C" w:rsidRPr="00A7459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72F77"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% de su evaluación final = </w:t>
            </w:r>
            <w:r w:rsidR="00162BAC" w:rsidRPr="00A745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72F77" w:rsidRPr="00A7459C">
              <w:rPr>
                <w:rFonts w:ascii="Times New Roman" w:hAnsi="Times New Roman" w:cs="Times New Roman"/>
                <w:sz w:val="24"/>
                <w:szCs w:val="24"/>
              </w:rPr>
              <w:t>0 horas.</w:t>
            </w:r>
          </w:p>
          <w:p w:rsidR="00162BAC" w:rsidRPr="00A7459C" w:rsidRDefault="00162BAC" w:rsidP="00E6377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Unidad de Prepartos y partos: 3 semanas (lunes a jueves) en jornada completa, corresponde a </w:t>
            </w:r>
            <w:r w:rsidR="00A7459C" w:rsidRPr="00A7459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>% de su evaluación final= 108 horas.</w:t>
            </w:r>
          </w:p>
          <w:p w:rsidR="00162BAC" w:rsidRPr="00A7459C" w:rsidRDefault="00162BAC" w:rsidP="00162BAC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Unidad de Puerperio: 1 semana (lunes a jueves) en media jornada, corresponde al </w:t>
            </w:r>
            <w:r w:rsidR="00A7459C" w:rsidRPr="00A745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>0% de su evaluación final = 20 horas.</w:t>
            </w:r>
          </w:p>
          <w:p w:rsidR="00BE59A6" w:rsidRPr="00A7459C" w:rsidRDefault="00BE59A6" w:rsidP="00BE59A6">
            <w:pPr>
              <w:pStyle w:val="Prrafodelista"/>
              <w:spacing w:after="0" w:line="240" w:lineRule="auto"/>
              <w:ind w:left="13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F77" w:rsidRPr="00A7459C" w:rsidRDefault="00162BAC" w:rsidP="00072F7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59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72F77" w:rsidRPr="00A7459C">
              <w:rPr>
                <w:rFonts w:ascii="Times New Roman" w:hAnsi="Times New Roman" w:cs="Times New Roman"/>
                <w:sz w:val="24"/>
                <w:szCs w:val="24"/>
              </w:rPr>
              <w:t xml:space="preserve">rabajo de Seguimiento y Presentación de Caso Clínico, corresponde al 10% de su evaluación final = </w:t>
            </w:r>
            <w:r w:rsidR="00A025D4" w:rsidRPr="00A7459C">
              <w:rPr>
                <w:rFonts w:ascii="Times New Roman" w:hAnsi="Times New Roman" w:cs="Times New Roman"/>
                <w:sz w:val="24"/>
                <w:szCs w:val="24"/>
              </w:rPr>
              <w:t>1 hora</w:t>
            </w:r>
            <w:r w:rsidR="00072F77" w:rsidRPr="00A745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72F77" w:rsidRDefault="00072F77" w:rsidP="00072F77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366D" w:rsidRDefault="00F9366D" w:rsidP="00072F77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F77" w:rsidRDefault="00072F77" w:rsidP="00072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 el cumplimiento de las actividades señaladas, se utilizarán las siguientes estrategias:</w:t>
            </w:r>
          </w:p>
          <w:p w:rsidR="00072F77" w:rsidRDefault="00072F77" w:rsidP="00072F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F77" w:rsidRDefault="00072F77" w:rsidP="00072F7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Casos clínicos para resolución </w:t>
            </w:r>
            <w:r w:rsidR="006D7083">
              <w:rPr>
                <w:rFonts w:ascii="Times New Roman" w:hAnsi="Times New Roman" w:cs="Times New Roman"/>
                <w:sz w:val="24"/>
                <w:szCs w:val="24"/>
              </w:rPr>
              <w:t>grupal de los estudiantes.</w:t>
            </w:r>
          </w:p>
          <w:p w:rsidR="006D7083" w:rsidRPr="006D7083" w:rsidRDefault="006D7083" w:rsidP="006D708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Actividades de simulación básica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laborartorio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3CDA" w:rsidRPr="008D3CDA" w:rsidRDefault="00072F77" w:rsidP="008D3CD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s</w:t>
            </w:r>
            <w:r w:rsidR="006D7083">
              <w:rPr>
                <w:rFonts w:ascii="Times New Roman" w:hAnsi="Times New Roman" w:cs="Times New Roman"/>
                <w:sz w:val="24"/>
                <w:szCs w:val="24"/>
              </w:rPr>
              <w:t>imulación con paciente ficticio</w:t>
            </w:r>
            <w:r w:rsidR="008D3CDA">
              <w:rPr>
                <w:rFonts w:ascii="Times New Roman" w:hAnsi="Times New Roman" w:cs="Times New Roman"/>
                <w:sz w:val="24"/>
                <w:szCs w:val="24"/>
              </w:rPr>
              <w:t xml:space="preserve"> en laboratorio.</w:t>
            </w:r>
          </w:p>
          <w:p w:rsidR="006D7083" w:rsidRDefault="000B7F32" w:rsidP="00072F7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simulación de alta complejidad con modelos avanzados.</w:t>
            </w:r>
          </w:p>
          <w:p w:rsidR="000B7F32" w:rsidRDefault="000B7F32" w:rsidP="00072F7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 </w:t>
            </w:r>
            <w:r w:rsidR="008D3CDA">
              <w:rPr>
                <w:rFonts w:ascii="Times New Roman" w:hAnsi="Times New Roman" w:cs="Times New Roman"/>
                <w:sz w:val="24"/>
                <w:szCs w:val="24"/>
              </w:rPr>
              <w:t>en Unidades de Urgencia, prepartos, parto y puerperio con tutor.</w:t>
            </w:r>
          </w:p>
          <w:p w:rsidR="00072F77" w:rsidRPr="005911D6" w:rsidRDefault="00072F77" w:rsidP="00072F7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Investigación bibliográfica y trabajo de estudio de caso.</w:t>
            </w:r>
          </w:p>
          <w:p w:rsidR="00072F77" w:rsidRDefault="00072F77" w:rsidP="00072F7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</w:p>
          <w:p w:rsidR="00A00DD1" w:rsidRPr="000B7F32" w:rsidRDefault="00A00DD1" w:rsidP="000B7F3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</w:tbl>
    <w:p w:rsidR="00A00DD1" w:rsidRPr="0060244B" w:rsidRDefault="00A00DD1" w:rsidP="00A00D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0DD1" w:rsidRPr="0060244B" w:rsidRDefault="00A00DD1" w:rsidP="00A00D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A00DD1" w:rsidRPr="00573408" w:rsidTr="00986053">
        <w:tc>
          <w:tcPr>
            <w:tcW w:w="9214" w:type="dxa"/>
          </w:tcPr>
          <w:p w:rsidR="00611E2D" w:rsidRPr="00A36323" w:rsidRDefault="00611E2D" w:rsidP="00A3632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Laboratorio de Simulación: corresponde al 10% de la nota final.</w:t>
            </w:r>
          </w:p>
          <w:p w:rsidR="00611E2D" w:rsidRDefault="00611E2D" w:rsidP="00611E2D">
            <w:pPr>
              <w:pStyle w:val="Prrafodelista"/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1E2D" w:rsidRPr="00611E2D" w:rsidRDefault="00611E2D" w:rsidP="00A36323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diagnóstica:</w:t>
            </w:r>
          </w:p>
          <w:p w:rsidR="00611E2D" w:rsidRPr="00611E2D" w:rsidRDefault="00611E2D" w:rsidP="00A36323">
            <w:pPr>
              <w:spacing w:after="0" w:line="240" w:lineRule="auto"/>
              <w:ind w:left="6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una evaluación diagnóstica tipo taller al inicio del periodo de laboratorios.</w:t>
            </w:r>
          </w:p>
          <w:p w:rsidR="00611E2D" w:rsidRPr="00611E2D" w:rsidRDefault="00611E2D" w:rsidP="00A36323">
            <w:pPr>
              <w:spacing w:after="0" w:line="240" w:lineRule="auto"/>
              <w:ind w:left="-1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1E2D" w:rsidRPr="00611E2D" w:rsidRDefault="00611E2D" w:rsidP="00A36323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Formativa:</w:t>
            </w:r>
          </w:p>
          <w:p w:rsidR="00611E2D" w:rsidRPr="00611E2D" w:rsidRDefault="00611E2D" w:rsidP="00A36323">
            <w:pPr>
              <w:spacing w:after="0" w:line="240" w:lineRule="auto"/>
              <w:ind w:left="6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611E2D" w:rsidRPr="00611E2D" w:rsidRDefault="00611E2D" w:rsidP="00A36323">
            <w:pPr>
              <w:spacing w:after="0" w:line="240" w:lineRule="auto"/>
              <w:ind w:left="-12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47093" w:rsidRDefault="00611E2D" w:rsidP="00A36323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Evaluación </w:t>
            </w:r>
            <w:proofErr w:type="spellStart"/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Sumativa</w:t>
            </w:r>
            <w:proofErr w:type="spellEnd"/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47093" w:rsidRDefault="00611E2D" w:rsidP="00A36323">
            <w:pPr>
              <w:pStyle w:val="Prrafodelista"/>
              <w:numPr>
                <w:ilvl w:val="1"/>
                <w:numId w:val="26"/>
              </w:numPr>
              <w:spacing w:after="0" w:line="240" w:lineRule="auto"/>
              <w:ind w:left="142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Pruebas de inicio: </w:t>
            </w:r>
            <w:r w:rsid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6470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 de nota de laboratorio.</w:t>
            </w:r>
          </w:p>
          <w:p w:rsidR="00611E2D" w:rsidRPr="00647093" w:rsidRDefault="00A36323" w:rsidP="00A36323">
            <w:pPr>
              <w:pStyle w:val="Prrafodelista"/>
              <w:numPr>
                <w:ilvl w:val="1"/>
                <w:numId w:val="26"/>
              </w:numPr>
              <w:spacing w:after="0" w:line="240" w:lineRule="auto"/>
              <w:ind w:left="142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tipo Examen clínico objetivo estructurado (ECOE): 50% de nota de laboratorio.</w:t>
            </w:r>
          </w:p>
          <w:p w:rsidR="00611E2D" w:rsidRPr="00611E2D" w:rsidRDefault="00611E2D" w:rsidP="00611E2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1E2D" w:rsidRDefault="00611E2D" w:rsidP="00A3632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Práctica Clínica: corresponde al  </w:t>
            </w:r>
            <w:r w:rsidR="00A36323"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 de su nota final.</w:t>
            </w:r>
          </w:p>
          <w:p w:rsidR="00A36323" w:rsidRPr="00A36323" w:rsidRDefault="00A36323" w:rsidP="00A36323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1E2D" w:rsidRPr="00A36323" w:rsidRDefault="00611E2D" w:rsidP="00A3632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Evaluación Formativa:</w:t>
            </w:r>
          </w:p>
          <w:p w:rsidR="00A36323" w:rsidRDefault="00611E2D" w:rsidP="00A36323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realiza permanentemente evaluación formativa en las actividades de atención directa de pacientes por parte del profesional tutor.</w:t>
            </w:r>
          </w:p>
          <w:p w:rsidR="00A36323" w:rsidRDefault="00A36323" w:rsidP="00A36323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1E2D" w:rsidRPr="00611E2D" w:rsidRDefault="00611E2D" w:rsidP="00A36323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preevaluar</w:t>
            </w:r>
            <w:proofErr w:type="spellEnd"/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611E2D" w:rsidRPr="00611E2D" w:rsidRDefault="00611E2D" w:rsidP="00611E2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36323" w:rsidRDefault="00611E2D" w:rsidP="00A3632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Evaluación </w:t>
            </w:r>
            <w:proofErr w:type="spellStart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Sumativa</w:t>
            </w:r>
            <w:proofErr w:type="spellEnd"/>
            <w:r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611E2D" w:rsidRPr="00A36323" w:rsidRDefault="00A36323" w:rsidP="00A36323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esta práctica se evalúan las tres unidades por separado. En cada una de ellas se </w:t>
            </w:r>
            <w:r w:rsidR="00611E2D"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aplican tres pautas de evaluación del desempeño clínico del estudiante, en las  que se evalúan los aspectos </w:t>
            </w:r>
            <w:proofErr w:type="spellStart"/>
            <w:r w:rsidR="00611E2D"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actitudinales</w:t>
            </w:r>
            <w:proofErr w:type="spellEnd"/>
            <w:r w:rsidR="00611E2D"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procedimentales y cognoscitivos. El primer día de </w:t>
            </w:r>
            <w:r w:rsidR="00611E2D" w:rsidRPr="00A363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inicio de la práctica el tutor deberá dar lectura a las pautas de evaluación de desempeño y dejar registrado este evento en hoja ad-hoc con firma del estudiante.</w:t>
            </w:r>
          </w:p>
          <w:p w:rsidR="00611E2D" w:rsidRPr="00611E2D" w:rsidRDefault="00611E2D" w:rsidP="00611E2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1E2D" w:rsidRPr="00611E2D" w:rsidRDefault="00611E2D" w:rsidP="008B1FBF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 </w:t>
            </w:r>
          </w:p>
          <w:p w:rsidR="00611E2D" w:rsidRPr="00611E2D" w:rsidRDefault="00611E2D" w:rsidP="00611E2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1E2D" w:rsidRPr="00611E2D" w:rsidRDefault="00611E2D" w:rsidP="008B1FBF">
            <w:pPr>
              <w:spacing w:after="0" w:line="240" w:lineRule="auto"/>
              <w:ind w:left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1E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611E2D" w:rsidRPr="00611E2D" w:rsidRDefault="00611E2D" w:rsidP="008B1FBF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11E2D" w:rsidRPr="008B1FBF" w:rsidRDefault="00611E2D" w:rsidP="008B1FB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Área </w:t>
            </w:r>
            <w:proofErr w:type="spellStart"/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Actitudinal</w:t>
            </w:r>
            <w:proofErr w:type="spellEnd"/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20%</w:t>
            </w:r>
          </w:p>
          <w:p w:rsidR="00611E2D" w:rsidRPr="008B1FBF" w:rsidRDefault="00611E2D" w:rsidP="008B1FB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Área Cognoscitiva: 40%</w:t>
            </w:r>
          </w:p>
          <w:p w:rsidR="00611E2D" w:rsidRPr="008B1FBF" w:rsidRDefault="00611E2D" w:rsidP="008B1FB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97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B1F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Área Procedimental: 40%</w:t>
            </w:r>
          </w:p>
          <w:p w:rsidR="00611E2D" w:rsidRPr="00611E2D" w:rsidRDefault="00611E2D" w:rsidP="00611E2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90637" w:rsidRDefault="00611E2D" w:rsidP="00A9063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Trabajo de Seguimiento</w:t>
            </w:r>
            <w:r w:rsidR="00A90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Presentación de Caso Clínico, c</w:t>
            </w:r>
            <w:r w:rsidRPr="00A90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orresponde al 10% de la nota final.</w:t>
            </w:r>
          </w:p>
          <w:p w:rsidR="00A90637" w:rsidRDefault="00611E2D" w:rsidP="00A90637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Evaluación </w:t>
            </w:r>
            <w:proofErr w:type="spellStart"/>
            <w:r w:rsidRPr="00A90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Sumativa</w:t>
            </w:r>
            <w:proofErr w:type="spellEnd"/>
            <w:r w:rsidRPr="00A90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90637" w:rsidRDefault="00611E2D" w:rsidP="00A90637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Presentación informe escrito: 60% de la nota.</w:t>
            </w:r>
          </w:p>
          <w:p w:rsidR="00BA28EC" w:rsidRPr="00A90637" w:rsidRDefault="00611E2D" w:rsidP="00A90637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Presentación oral: 40% de la nota.</w:t>
            </w:r>
          </w:p>
          <w:p w:rsidR="00A00DD1" w:rsidRPr="00BC129F" w:rsidRDefault="00A00DD1" w:rsidP="00611E2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548DD4" w:themeColor="text2" w:themeTint="99"/>
              </w:rPr>
            </w:pPr>
          </w:p>
        </w:tc>
      </w:tr>
    </w:tbl>
    <w:p w:rsidR="00A00DD1" w:rsidRDefault="00A00DD1" w:rsidP="00A00D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0DD1" w:rsidRPr="0060244B" w:rsidRDefault="00A00DD1" w:rsidP="00A00D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186"/>
      </w:tblGrid>
      <w:tr w:rsidR="00A00DD1" w:rsidRPr="0060244B" w:rsidTr="00A00DD1">
        <w:tc>
          <w:tcPr>
            <w:tcW w:w="9186" w:type="dxa"/>
          </w:tcPr>
          <w:p w:rsidR="00A00DD1" w:rsidRDefault="00F2575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F25750" w:rsidRPr="00BE5C67" w:rsidRDefault="00F2575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DD1" w:rsidRPr="00BE5C67" w:rsidRDefault="00A00DD1" w:rsidP="00A9519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Pérez Sánchez, A. (2011) Obstetricia (4ª Edición).Chile: Mediterráneo</w:t>
            </w:r>
          </w:p>
          <w:p w:rsidR="00A00DD1" w:rsidRDefault="00A00DD1" w:rsidP="00A95195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Schwarcz</w:t>
            </w:r>
            <w:proofErr w:type="spellEnd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 xml:space="preserve">, R., </w:t>
            </w:r>
            <w:proofErr w:type="spellStart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Fescina</w:t>
            </w:r>
            <w:proofErr w:type="spellEnd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,Duverges,C</w:t>
            </w:r>
            <w:proofErr w:type="spellEnd"/>
            <w:proofErr w:type="gramEnd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. (2005) Obstetricia (6ª Edición).Argentina: El Ateneo.</w:t>
            </w:r>
          </w:p>
          <w:p w:rsidR="00A95195" w:rsidRDefault="00A95195" w:rsidP="00A951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195" w:rsidRDefault="00A95195" w:rsidP="00A9519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5195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A95195" w:rsidRPr="00A95195" w:rsidRDefault="00A95195" w:rsidP="00A9519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0DD1" w:rsidRDefault="00A00DD1" w:rsidP="00F25750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C67">
              <w:rPr>
                <w:rFonts w:ascii="Times New Roman" w:hAnsi="Times New Roman" w:cs="Times New Roman"/>
                <w:sz w:val="24"/>
                <w:szCs w:val="24"/>
              </w:rPr>
              <w:t xml:space="preserve">González Merlo, J., </w:t>
            </w:r>
            <w:proofErr w:type="spellStart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Lailla</w:t>
            </w:r>
            <w:proofErr w:type="spellEnd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 xml:space="preserve">, J.M., Fabre, E., González, E. (2013) Obstetricia (6ª Edición). </w:t>
            </w:r>
          </w:p>
          <w:p w:rsidR="00A00DD1" w:rsidRDefault="00A00DD1" w:rsidP="00F25750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C67">
              <w:rPr>
                <w:rFonts w:ascii="Times New Roman" w:hAnsi="Times New Roman" w:cs="Times New Roman"/>
                <w:sz w:val="24"/>
                <w:szCs w:val="24"/>
              </w:rPr>
              <w:t xml:space="preserve">España: </w:t>
            </w:r>
            <w:proofErr w:type="spellStart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ElsevierMasson.Calais-Germain</w:t>
            </w:r>
            <w:proofErr w:type="spellEnd"/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, B., Vives, N. Parir en Movimiento. España: La liebre de marzo.</w:t>
            </w:r>
          </w:p>
          <w:p w:rsidR="00A95195" w:rsidRPr="00BE5C67" w:rsidRDefault="00A95195" w:rsidP="00A95195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DD1" w:rsidRPr="00BE5C67" w:rsidRDefault="00A00DD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C67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</w:p>
          <w:p w:rsidR="00A00DD1" w:rsidRDefault="00A00DD1" w:rsidP="00A00DD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C67">
              <w:rPr>
                <w:rFonts w:ascii="Times New Roman" w:hAnsi="Times New Roman" w:cs="Times New Roman"/>
                <w:sz w:val="24"/>
                <w:szCs w:val="24"/>
              </w:rPr>
              <w:t xml:space="preserve">Manual de Atención Personalizada en el Proceso Reproductivo, Ministerio de Salud de Chile,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2008.</w:t>
            </w:r>
          </w:p>
          <w:p w:rsidR="00A00DD1" w:rsidRPr="00BE5C67" w:rsidRDefault="00A00DD1" w:rsidP="00986053">
            <w:pPr>
              <w:pStyle w:val="Prrafodelista"/>
              <w:spacing w:after="0" w:line="240" w:lineRule="auto"/>
              <w:ind w:left="5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http://web.minsal.cl/portal/url/item/795c688fd24acd68e04001011e013bfb.pdf</w:t>
            </w:r>
          </w:p>
          <w:p w:rsidR="00A00DD1" w:rsidRDefault="00A00DD1" w:rsidP="00A00DD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Guía Perinatal 2015, Ministerio de Salud.</w:t>
            </w:r>
          </w:p>
          <w:p w:rsidR="00A00DD1" w:rsidRPr="00A95195" w:rsidRDefault="00A00DD1" w:rsidP="00A95195">
            <w:pPr>
              <w:pStyle w:val="Prrafodelista"/>
              <w:spacing w:after="0" w:line="240" w:lineRule="auto"/>
              <w:ind w:left="5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195">
              <w:rPr>
                <w:rFonts w:ascii="Times New Roman" w:hAnsi="Times New Roman" w:cs="Times New Roman"/>
                <w:sz w:val="24"/>
                <w:szCs w:val="24"/>
              </w:rPr>
              <w:t>http://web.minsal.cl/sites/default/files/files/GUIA%20PERINATAL_2015_%20PARA%20PUBLICAR</w:t>
            </w:r>
            <w:r w:rsidRPr="00BE5C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95195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  <w:p w:rsidR="00A00DD1" w:rsidRPr="00BE5C67" w:rsidRDefault="00A00DD1" w:rsidP="00A00DD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C67">
              <w:rPr>
                <w:rFonts w:ascii="Times New Roman" w:hAnsi="Times New Roman" w:cs="Times New Roman"/>
                <w:sz w:val="24"/>
                <w:szCs w:val="24"/>
              </w:rPr>
              <w:t xml:space="preserve">Manual de Procedimientos para la atención del recién nacido en el período inmediato y </w:t>
            </w:r>
            <w:r w:rsidRPr="00BE5C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Puerperio en servicios de Obstetricia y Ginecología, Ministerio de Salud de Chile, año 2013.</w:t>
            </w:r>
          </w:p>
          <w:p w:rsidR="00A00DD1" w:rsidRPr="0060244B" w:rsidRDefault="00A00DD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0DD1" w:rsidRDefault="00A00DD1" w:rsidP="00A00DD1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</w:p>
    <w:p w:rsidR="00A00DD1" w:rsidRPr="002D74CF" w:rsidRDefault="00A00DD1" w:rsidP="00A00DD1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p w:rsidR="00A00DD1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DD1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DD1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DD1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DD1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DD1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0DD1" w:rsidRDefault="00A00DD1" w:rsidP="00A00D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CF3630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780" w:rsidRDefault="001C0780" w:rsidP="00A00DD1">
      <w:pPr>
        <w:spacing w:after="0" w:line="240" w:lineRule="auto"/>
      </w:pPr>
      <w:r>
        <w:separator/>
      </w:r>
    </w:p>
  </w:endnote>
  <w:endnote w:type="continuationSeparator" w:id="0">
    <w:p w:rsidR="001C0780" w:rsidRDefault="001C0780" w:rsidP="00A0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780" w:rsidRDefault="001C0780" w:rsidP="00A00DD1">
      <w:pPr>
        <w:spacing w:after="0" w:line="240" w:lineRule="auto"/>
      </w:pPr>
      <w:r>
        <w:separator/>
      </w:r>
    </w:p>
  </w:footnote>
  <w:footnote w:type="continuationSeparator" w:id="0">
    <w:p w:rsidR="001C0780" w:rsidRDefault="001C0780" w:rsidP="00A0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A00DD1" w:rsidTr="00986053">
      <w:trPr>
        <w:jc w:val="center"/>
      </w:trPr>
      <w:tc>
        <w:tcPr>
          <w:tcW w:w="2023" w:type="dxa"/>
        </w:tcPr>
        <w:p w:rsidR="00A00DD1" w:rsidRDefault="00A00DD1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43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A00DD1" w:rsidRDefault="00A00DD1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A00DD1" w:rsidRPr="00607538" w:rsidRDefault="00E83E4B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A00DD1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A00DD1" w:rsidRPr="00607538" w:rsidRDefault="00A00DD1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A00DD1" w:rsidRPr="00607538" w:rsidRDefault="00A00DD1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A00DD1" w:rsidRPr="00607538" w:rsidRDefault="00A00DD1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A00DD1" w:rsidRDefault="00A00DD1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4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00DD1" w:rsidRDefault="00A00DD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50D2"/>
    <w:multiLevelType w:val="hybridMultilevel"/>
    <w:tmpl w:val="87AAFD6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8927C88"/>
    <w:multiLevelType w:val="hybridMultilevel"/>
    <w:tmpl w:val="7F6607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0413F"/>
    <w:multiLevelType w:val="hybridMultilevel"/>
    <w:tmpl w:val="914CB62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0DD31161"/>
    <w:multiLevelType w:val="hybridMultilevel"/>
    <w:tmpl w:val="D6EA90A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0EDE06F1"/>
    <w:multiLevelType w:val="hybridMultilevel"/>
    <w:tmpl w:val="043CD48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126B4F73"/>
    <w:multiLevelType w:val="hybridMultilevel"/>
    <w:tmpl w:val="BEA418E6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187C13E8"/>
    <w:multiLevelType w:val="hybridMultilevel"/>
    <w:tmpl w:val="E2A8FB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1B8741E7"/>
    <w:multiLevelType w:val="hybridMultilevel"/>
    <w:tmpl w:val="C8945C7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2ABF0D72"/>
    <w:multiLevelType w:val="hybridMultilevel"/>
    <w:tmpl w:val="EEACC94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929EC"/>
    <w:multiLevelType w:val="hybridMultilevel"/>
    <w:tmpl w:val="12B63D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B7174"/>
    <w:multiLevelType w:val="hybridMultilevel"/>
    <w:tmpl w:val="90CA13A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7159A1"/>
    <w:multiLevelType w:val="hybridMultilevel"/>
    <w:tmpl w:val="8280D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E696F"/>
    <w:multiLevelType w:val="hybridMultilevel"/>
    <w:tmpl w:val="1CC66118"/>
    <w:lvl w:ilvl="0" w:tplc="D5C803FC">
      <w:start w:val="1"/>
      <w:numFmt w:val="decimal"/>
      <w:lvlText w:val="%1."/>
      <w:lvlJc w:val="left"/>
      <w:pPr>
        <w:ind w:left="702" w:hanging="81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4">
    <w:nsid w:val="34D87A43"/>
    <w:multiLevelType w:val="hybridMultilevel"/>
    <w:tmpl w:val="500A299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631F58"/>
    <w:multiLevelType w:val="hybridMultilevel"/>
    <w:tmpl w:val="12E8D0D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007436"/>
    <w:multiLevelType w:val="hybridMultilevel"/>
    <w:tmpl w:val="38D6F13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45726835"/>
    <w:multiLevelType w:val="hybridMultilevel"/>
    <w:tmpl w:val="171AACA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478D31B5"/>
    <w:multiLevelType w:val="hybridMultilevel"/>
    <w:tmpl w:val="6478CF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23216"/>
    <w:multiLevelType w:val="hybridMultilevel"/>
    <w:tmpl w:val="56AECA4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5A496F70"/>
    <w:multiLevelType w:val="hybridMultilevel"/>
    <w:tmpl w:val="D0F82E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F81B92"/>
    <w:multiLevelType w:val="hybridMultilevel"/>
    <w:tmpl w:val="1D8AA416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7F1558"/>
    <w:multiLevelType w:val="hybridMultilevel"/>
    <w:tmpl w:val="EB70A73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71E3227"/>
    <w:multiLevelType w:val="hybridMultilevel"/>
    <w:tmpl w:val="B3B23BA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">
    <w:nsid w:val="6AEF1EEB"/>
    <w:multiLevelType w:val="hybridMultilevel"/>
    <w:tmpl w:val="A0FEA2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8A5F04"/>
    <w:multiLevelType w:val="hybridMultilevel"/>
    <w:tmpl w:val="E32824BE"/>
    <w:lvl w:ilvl="0" w:tplc="34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">
    <w:nsid w:val="72404CBC"/>
    <w:multiLevelType w:val="hybridMultilevel"/>
    <w:tmpl w:val="20D4EF1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055E41"/>
    <w:multiLevelType w:val="hybridMultilevel"/>
    <w:tmpl w:val="7FC05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62E0D"/>
    <w:multiLevelType w:val="hybridMultilevel"/>
    <w:tmpl w:val="39CA53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26"/>
  </w:num>
  <w:num w:numId="5">
    <w:abstractNumId w:val="25"/>
  </w:num>
  <w:num w:numId="6">
    <w:abstractNumId w:val="20"/>
  </w:num>
  <w:num w:numId="7">
    <w:abstractNumId w:val="16"/>
  </w:num>
  <w:num w:numId="8">
    <w:abstractNumId w:val="29"/>
  </w:num>
  <w:num w:numId="9">
    <w:abstractNumId w:val="18"/>
  </w:num>
  <w:num w:numId="10">
    <w:abstractNumId w:val="5"/>
  </w:num>
  <w:num w:numId="11">
    <w:abstractNumId w:val="6"/>
  </w:num>
  <w:num w:numId="12">
    <w:abstractNumId w:val="22"/>
  </w:num>
  <w:num w:numId="13">
    <w:abstractNumId w:val="27"/>
  </w:num>
  <w:num w:numId="14">
    <w:abstractNumId w:val="14"/>
  </w:num>
  <w:num w:numId="15">
    <w:abstractNumId w:val="7"/>
  </w:num>
  <w:num w:numId="16">
    <w:abstractNumId w:val="3"/>
  </w:num>
  <w:num w:numId="17">
    <w:abstractNumId w:val="1"/>
  </w:num>
  <w:num w:numId="18">
    <w:abstractNumId w:val="19"/>
  </w:num>
  <w:num w:numId="19">
    <w:abstractNumId w:val="12"/>
  </w:num>
  <w:num w:numId="20">
    <w:abstractNumId w:val="11"/>
  </w:num>
  <w:num w:numId="21">
    <w:abstractNumId w:val="23"/>
  </w:num>
  <w:num w:numId="22">
    <w:abstractNumId w:val="2"/>
  </w:num>
  <w:num w:numId="23">
    <w:abstractNumId w:val="17"/>
  </w:num>
  <w:num w:numId="24">
    <w:abstractNumId w:val="24"/>
  </w:num>
  <w:num w:numId="25">
    <w:abstractNumId w:val="13"/>
  </w:num>
  <w:num w:numId="26">
    <w:abstractNumId w:val="0"/>
  </w:num>
  <w:num w:numId="27">
    <w:abstractNumId w:val="15"/>
  </w:num>
  <w:num w:numId="28">
    <w:abstractNumId w:val="30"/>
  </w:num>
  <w:num w:numId="29">
    <w:abstractNumId w:val="4"/>
  </w:num>
  <w:num w:numId="30">
    <w:abstractNumId w:val="9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00DD1"/>
    <w:rsid w:val="00056371"/>
    <w:rsid w:val="00063FF5"/>
    <w:rsid w:val="00072F77"/>
    <w:rsid w:val="000B7F32"/>
    <w:rsid w:val="0013150F"/>
    <w:rsid w:val="0014420B"/>
    <w:rsid w:val="00151B3E"/>
    <w:rsid w:val="00153428"/>
    <w:rsid w:val="00155E44"/>
    <w:rsid w:val="00162BAC"/>
    <w:rsid w:val="001C0780"/>
    <w:rsid w:val="00201A9C"/>
    <w:rsid w:val="00226A97"/>
    <w:rsid w:val="00241EC1"/>
    <w:rsid w:val="0026056B"/>
    <w:rsid w:val="00266824"/>
    <w:rsid w:val="00277152"/>
    <w:rsid w:val="002916DB"/>
    <w:rsid w:val="002A3075"/>
    <w:rsid w:val="002C1C46"/>
    <w:rsid w:val="002D4E44"/>
    <w:rsid w:val="002E6944"/>
    <w:rsid w:val="00300BDE"/>
    <w:rsid w:val="0030589B"/>
    <w:rsid w:val="00305C11"/>
    <w:rsid w:val="00383844"/>
    <w:rsid w:val="003A5712"/>
    <w:rsid w:val="004409D5"/>
    <w:rsid w:val="004D5381"/>
    <w:rsid w:val="004F644B"/>
    <w:rsid w:val="00587230"/>
    <w:rsid w:val="005A7F8F"/>
    <w:rsid w:val="005F3640"/>
    <w:rsid w:val="005F544F"/>
    <w:rsid w:val="005F54FC"/>
    <w:rsid w:val="00611E2D"/>
    <w:rsid w:val="00647093"/>
    <w:rsid w:val="00651569"/>
    <w:rsid w:val="006D7083"/>
    <w:rsid w:val="00743DA4"/>
    <w:rsid w:val="007A12E0"/>
    <w:rsid w:val="007A5A50"/>
    <w:rsid w:val="007D37E6"/>
    <w:rsid w:val="00803D11"/>
    <w:rsid w:val="00850D56"/>
    <w:rsid w:val="008A77CD"/>
    <w:rsid w:val="008B1FBF"/>
    <w:rsid w:val="008D3CDA"/>
    <w:rsid w:val="009156B3"/>
    <w:rsid w:val="0092384F"/>
    <w:rsid w:val="00940FFD"/>
    <w:rsid w:val="00954373"/>
    <w:rsid w:val="00963D82"/>
    <w:rsid w:val="009B005A"/>
    <w:rsid w:val="009B6AA2"/>
    <w:rsid w:val="009C6FE8"/>
    <w:rsid w:val="009D048A"/>
    <w:rsid w:val="009F35E3"/>
    <w:rsid w:val="00A00DD1"/>
    <w:rsid w:val="00A025D4"/>
    <w:rsid w:val="00A36323"/>
    <w:rsid w:val="00A71B21"/>
    <w:rsid w:val="00A7459C"/>
    <w:rsid w:val="00A90637"/>
    <w:rsid w:val="00A95195"/>
    <w:rsid w:val="00AA4E0A"/>
    <w:rsid w:val="00AB2F31"/>
    <w:rsid w:val="00AB7E5F"/>
    <w:rsid w:val="00AC2CB1"/>
    <w:rsid w:val="00AC6BE4"/>
    <w:rsid w:val="00AD263F"/>
    <w:rsid w:val="00B44CB1"/>
    <w:rsid w:val="00B46B53"/>
    <w:rsid w:val="00B75601"/>
    <w:rsid w:val="00BA28EC"/>
    <w:rsid w:val="00BE59A6"/>
    <w:rsid w:val="00C323BF"/>
    <w:rsid w:val="00C45A8D"/>
    <w:rsid w:val="00C477CC"/>
    <w:rsid w:val="00C64F14"/>
    <w:rsid w:val="00CF3630"/>
    <w:rsid w:val="00CF7247"/>
    <w:rsid w:val="00CF79CB"/>
    <w:rsid w:val="00D0133F"/>
    <w:rsid w:val="00D178EB"/>
    <w:rsid w:val="00D30E00"/>
    <w:rsid w:val="00D60E4E"/>
    <w:rsid w:val="00D67E50"/>
    <w:rsid w:val="00D94D79"/>
    <w:rsid w:val="00DA0BA2"/>
    <w:rsid w:val="00DA10B9"/>
    <w:rsid w:val="00DA5382"/>
    <w:rsid w:val="00DE3BCE"/>
    <w:rsid w:val="00E6377B"/>
    <w:rsid w:val="00E80C19"/>
    <w:rsid w:val="00E83E4B"/>
    <w:rsid w:val="00E8507D"/>
    <w:rsid w:val="00EA0687"/>
    <w:rsid w:val="00EE025A"/>
    <w:rsid w:val="00F25750"/>
    <w:rsid w:val="00F6041B"/>
    <w:rsid w:val="00F86F99"/>
    <w:rsid w:val="00F875FA"/>
    <w:rsid w:val="00F914BD"/>
    <w:rsid w:val="00F9366D"/>
    <w:rsid w:val="00F979F7"/>
    <w:rsid w:val="00FA685D"/>
    <w:rsid w:val="00FB0B3A"/>
    <w:rsid w:val="00FB0FCE"/>
    <w:rsid w:val="00FC1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DD1"/>
    <w:pPr>
      <w:ind w:left="720"/>
      <w:contextualSpacing/>
    </w:pPr>
  </w:style>
  <w:style w:type="table" w:styleId="Tablaconcuadrcula">
    <w:name w:val="Table Grid"/>
    <w:basedOn w:val="Tablanormal"/>
    <w:rsid w:val="00A00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0DD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A00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00DD1"/>
  </w:style>
  <w:style w:type="paragraph" w:styleId="Piedepgina">
    <w:name w:val="footer"/>
    <w:basedOn w:val="Normal"/>
    <w:link w:val="PiedepginaCar"/>
    <w:uiPriority w:val="99"/>
    <w:semiHidden/>
    <w:unhideWhenUsed/>
    <w:rsid w:val="00A00D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00DD1"/>
  </w:style>
  <w:style w:type="paragraph" w:styleId="Sinespaciado">
    <w:name w:val="No Spacing"/>
    <w:uiPriority w:val="1"/>
    <w:qFormat/>
    <w:rsid w:val="00A00DD1"/>
    <w:pPr>
      <w:spacing w:after="0" w:line="240" w:lineRule="auto"/>
    </w:pPr>
  </w:style>
  <w:style w:type="paragraph" w:customStyle="1" w:styleId="Normal1">
    <w:name w:val="Normal1"/>
    <w:rsid w:val="00A00DD1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DD1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D013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133F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133F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1554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3</cp:revision>
  <dcterms:created xsi:type="dcterms:W3CDTF">2016-06-09T15:13:00Z</dcterms:created>
  <dcterms:modified xsi:type="dcterms:W3CDTF">2016-06-09T16:16:00Z</dcterms:modified>
</cp:coreProperties>
</file>