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D61" w:rsidRPr="00652133" w:rsidRDefault="00EB1D61" w:rsidP="00EB1D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EB1D61" w:rsidRPr="00652133" w:rsidRDefault="00EB1D61" w:rsidP="00EB1D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1D61" w:rsidRPr="00652133" w:rsidRDefault="00EB1D61" w:rsidP="00EB1D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CLÍNICA DE NEONATOLOGÍA II</w:t>
      </w:r>
    </w:p>
    <w:p w:rsidR="00EB1D61" w:rsidRPr="00652133" w:rsidRDefault="00EB1D61" w:rsidP="00EB1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EB1D61" w:rsidRPr="00652133" w:rsidTr="00B625B4">
        <w:trPr>
          <w:gridAfter w:val="1"/>
          <w:wAfter w:w="8" w:type="dxa"/>
          <w:trHeight w:val="269"/>
        </w:trPr>
        <w:tc>
          <w:tcPr>
            <w:tcW w:w="1588" w:type="dxa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EB1D61" w:rsidRPr="00652133" w:rsidTr="00B625B4">
        <w:trPr>
          <w:gridAfter w:val="1"/>
          <w:wAfter w:w="8" w:type="dxa"/>
          <w:trHeight w:val="286"/>
        </w:trPr>
        <w:tc>
          <w:tcPr>
            <w:tcW w:w="1588" w:type="dxa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 w:rsidR="00D33664">
              <w:rPr>
                <w:rFonts w:ascii="Times New Roman" w:hAnsi="Times New Roman" w:cs="Times New Roman"/>
                <w:sz w:val="24"/>
                <w:szCs w:val="24"/>
              </w:rPr>
              <w:t>1402</w:t>
            </w:r>
          </w:p>
        </w:tc>
      </w:tr>
      <w:tr w:rsidR="00EB1D61" w:rsidRPr="00652133" w:rsidTr="00B625B4">
        <w:trPr>
          <w:gridAfter w:val="1"/>
          <w:wAfter w:w="8" w:type="dxa"/>
          <w:trHeight w:val="269"/>
        </w:trPr>
        <w:tc>
          <w:tcPr>
            <w:tcW w:w="1588" w:type="dxa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EB1D61" w:rsidRPr="00652133" w:rsidTr="00D33664">
        <w:trPr>
          <w:gridAfter w:val="1"/>
          <w:wAfter w:w="8" w:type="dxa"/>
          <w:trHeight w:val="759"/>
        </w:trPr>
        <w:tc>
          <w:tcPr>
            <w:tcW w:w="1588" w:type="dxa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EB1D61" w:rsidRPr="00652133" w:rsidRDefault="00166E05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3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EB1D61" w:rsidRPr="00652133" w:rsidRDefault="00166E05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1D61" w:rsidRPr="00652133" w:rsidTr="00B625B4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61" w:rsidRPr="00652133" w:rsidTr="00B625B4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B1D61" w:rsidRPr="00652133" w:rsidRDefault="00EB1D61" w:rsidP="00B625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61" w:rsidRPr="00652133" w:rsidTr="00B625B4">
        <w:trPr>
          <w:gridAfter w:val="1"/>
          <w:wAfter w:w="8" w:type="dxa"/>
          <w:trHeight w:val="342"/>
        </w:trPr>
        <w:tc>
          <w:tcPr>
            <w:tcW w:w="1588" w:type="dxa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EB1D61" w:rsidRPr="00652133" w:rsidRDefault="00EB1D61" w:rsidP="00B625B4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61" w:rsidRPr="00652133" w:rsidTr="00B625B4">
        <w:trPr>
          <w:gridAfter w:val="1"/>
          <w:wAfter w:w="8" w:type="dxa"/>
          <w:trHeight w:val="827"/>
        </w:trPr>
        <w:tc>
          <w:tcPr>
            <w:tcW w:w="1588" w:type="dxa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F81790" w:rsidRDefault="00EB1D61" w:rsidP="005A2E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Asignatura práctica, del área  clínico asistencial,</w:t>
            </w:r>
            <w:r w:rsidR="00B6593E">
              <w:rPr>
                <w:rFonts w:ascii="Times New Roman" w:hAnsi="Times New Roman" w:cs="Times New Roman"/>
                <w:sz w:val="24"/>
                <w:szCs w:val="24"/>
              </w:rPr>
              <w:t xml:space="preserve"> en la que el estudiante aplicará </w:t>
            </w:r>
            <w:r w:rsidRPr="00652133">
              <w:rPr>
                <w:rFonts w:ascii="Times New Roman" w:hAnsi="Times New Roman" w:cs="Times New Roman"/>
                <w:sz w:val="24"/>
                <w:szCs w:val="24"/>
              </w:rPr>
              <w:t>el Proceso de Atención, procedimientos y conocimientos de especialidad  en  Servicio Neonatología Patológica</w:t>
            </w:r>
            <w:r w:rsidR="003221B8">
              <w:rPr>
                <w:rFonts w:ascii="Times New Roman" w:hAnsi="Times New Roman" w:cs="Times New Roman"/>
                <w:sz w:val="24"/>
                <w:szCs w:val="24"/>
              </w:rPr>
              <w:t xml:space="preserve"> y las unidades relacionadas</w:t>
            </w:r>
            <w:r w:rsidR="005A2EE6">
              <w:rPr>
                <w:rFonts w:ascii="Times New Roman" w:hAnsi="Times New Roman" w:cs="Times New Roman"/>
                <w:sz w:val="24"/>
                <w:szCs w:val="24"/>
              </w:rPr>
              <w:t>, además</w:t>
            </w:r>
            <w:r w:rsidR="00322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EE6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6F5EAC">
              <w:rPr>
                <w:rFonts w:ascii="Times New Roman" w:hAnsi="Times New Roman" w:cs="Times New Roman"/>
                <w:sz w:val="24"/>
                <w:szCs w:val="24"/>
              </w:rPr>
              <w:t>poner en práctica</w:t>
            </w:r>
            <w:r w:rsidR="005A2EE6">
              <w:rPr>
                <w:rFonts w:ascii="Times New Roman" w:hAnsi="Times New Roman" w:cs="Times New Roman"/>
                <w:sz w:val="24"/>
                <w:szCs w:val="24"/>
              </w:rPr>
              <w:t xml:space="preserve"> los</w:t>
            </w:r>
            <w:r w:rsidR="006F5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EE6">
              <w:rPr>
                <w:rFonts w:ascii="Times New Roman" w:hAnsi="Times New Roman" w:cs="Times New Roman"/>
                <w:sz w:val="24"/>
                <w:szCs w:val="24"/>
              </w:rPr>
              <w:t xml:space="preserve">aprendizajes </w:t>
            </w:r>
            <w:r w:rsidR="006F5EAC" w:rsidRPr="005A2EE6">
              <w:rPr>
                <w:rFonts w:ascii="Times New Roman" w:hAnsi="Times New Roman" w:cs="Times New Roman"/>
                <w:sz w:val="24"/>
                <w:szCs w:val="24"/>
              </w:rPr>
              <w:t>desarrollados</w:t>
            </w:r>
            <w:r w:rsidRPr="005A2EE6">
              <w:rPr>
                <w:rFonts w:ascii="Times New Roman" w:hAnsi="Times New Roman" w:cs="Times New Roman"/>
                <w:sz w:val="24"/>
                <w:szCs w:val="24"/>
              </w:rPr>
              <w:t xml:space="preserve"> en la asignatura de Neonatología II</w:t>
            </w:r>
            <w:r w:rsidR="006F5EAC" w:rsidRPr="005A2EE6">
              <w:rPr>
                <w:rFonts w:ascii="Times New Roman" w:hAnsi="Times New Roman" w:cs="Times New Roman"/>
                <w:sz w:val="24"/>
                <w:szCs w:val="24"/>
              </w:rPr>
              <w:t xml:space="preserve"> y Cínica de Neonatología I. </w:t>
            </w:r>
            <w:r w:rsidR="00F9379C" w:rsidRPr="005A2EE6">
              <w:rPr>
                <w:rFonts w:ascii="Times New Roman" w:hAnsi="Times New Roman" w:cs="Times New Roman"/>
                <w:sz w:val="24"/>
                <w:szCs w:val="24"/>
              </w:rPr>
              <w:t xml:space="preserve"> Para ello el estudiante </w:t>
            </w:r>
            <w:r w:rsidR="00A879AF" w:rsidRPr="005A2EE6">
              <w:rPr>
                <w:rFonts w:ascii="Times New Roman" w:hAnsi="Times New Roman" w:cs="Times New Roman"/>
                <w:sz w:val="24"/>
                <w:szCs w:val="24"/>
              </w:rPr>
              <w:t>deberá desarrollar</w:t>
            </w:r>
            <w:r w:rsidR="004C05D4" w:rsidRPr="005A2E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790" w:rsidRPr="005A2EE6">
              <w:rPr>
                <w:rFonts w:ascii="Times New Roman" w:hAnsi="Times New Roman" w:cs="Times New Roman"/>
                <w:sz w:val="24"/>
                <w:szCs w:val="24"/>
              </w:rPr>
              <w:t>competenci</w:t>
            </w:r>
            <w:r w:rsidR="00D47277">
              <w:rPr>
                <w:rFonts w:ascii="Times New Roman" w:hAnsi="Times New Roman" w:cs="Times New Roman"/>
                <w:sz w:val="24"/>
                <w:szCs w:val="24"/>
              </w:rPr>
              <w:t>as genéricas como la calidad, el compromiso ético</w:t>
            </w:r>
            <w:r w:rsidR="00F81790" w:rsidRPr="005A2EE6">
              <w:rPr>
                <w:rFonts w:ascii="Times New Roman" w:hAnsi="Times New Roman" w:cs="Times New Roman"/>
                <w:sz w:val="24"/>
                <w:szCs w:val="24"/>
              </w:rPr>
              <w:t xml:space="preserve">, el liderazgo y competencias específicas del área </w:t>
            </w:r>
            <w:r w:rsidR="00B75F85">
              <w:rPr>
                <w:rFonts w:ascii="Times New Roman" w:hAnsi="Times New Roman" w:cs="Times New Roman"/>
                <w:sz w:val="24"/>
                <w:szCs w:val="24"/>
              </w:rPr>
              <w:t>Neonatal patológica del nivel terciario de atención</w:t>
            </w:r>
            <w:r w:rsidR="00F81790" w:rsidRPr="005A2EE6">
              <w:rPr>
                <w:rFonts w:ascii="Times New Roman" w:hAnsi="Times New Roman" w:cs="Times New Roman"/>
                <w:sz w:val="24"/>
                <w:szCs w:val="24"/>
              </w:rPr>
              <w:t xml:space="preserve"> que son básicas para la formación del profesional Matrona- Matrón</w:t>
            </w:r>
            <w:r w:rsidR="005A2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2EE6" w:rsidRPr="004C05D4" w:rsidRDefault="005A2EE6" w:rsidP="005A2E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B1D61" w:rsidRPr="00652133" w:rsidTr="00B625B4">
        <w:trPr>
          <w:gridAfter w:val="1"/>
          <w:wAfter w:w="8" w:type="dxa"/>
          <w:trHeight w:val="286"/>
        </w:trPr>
        <w:tc>
          <w:tcPr>
            <w:tcW w:w="1588" w:type="dxa"/>
          </w:tcPr>
          <w:p w:rsidR="00EB1D61" w:rsidRPr="00652133" w:rsidRDefault="00EB1D61" w:rsidP="00B62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EB1D61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requisito:</w:t>
            </w:r>
          </w:p>
          <w:p w:rsidR="00EB1D61" w:rsidRPr="00901732" w:rsidRDefault="00EB1D61" w:rsidP="00EB1D6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1732">
              <w:rPr>
                <w:rFonts w:ascii="Times New Roman" w:hAnsi="Times New Roman" w:cs="Times New Roman"/>
                <w:sz w:val="24"/>
                <w:szCs w:val="24"/>
              </w:rPr>
              <w:t>Clínica de Neonatología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1D61" w:rsidRPr="00652133" w:rsidRDefault="00EB1D61" w:rsidP="00B6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1CE7" w:rsidRDefault="00CB1CE7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1CE7" w:rsidRDefault="00CB1CE7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1CE7" w:rsidRDefault="00CB1CE7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Pr="00652133">
        <w:rPr>
          <w:rFonts w:ascii="Times New Roman" w:hAnsi="Times New Roman" w:cs="Times New Roman"/>
          <w:b/>
          <w:sz w:val="24"/>
          <w:szCs w:val="24"/>
        </w:rPr>
        <w:t>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B1D61" w:rsidRPr="00652133" w:rsidTr="00B625B4">
        <w:tc>
          <w:tcPr>
            <w:tcW w:w="9214" w:type="dxa"/>
          </w:tcPr>
          <w:p w:rsidR="00B75F85" w:rsidRDefault="00B75F85" w:rsidP="0010483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Asistencial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B75F85" w:rsidRDefault="00B75F85" w:rsidP="0010483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F85" w:rsidRPr="009F49E1" w:rsidRDefault="00B75F85" w:rsidP="0010483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B75F85" w:rsidRDefault="00B75F85" w:rsidP="00104833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B6DD5">
              <w:rPr>
                <w:rFonts w:ascii="Times New Roman" w:hAnsi="Times New Roman" w:cs="Times New Roman"/>
                <w:sz w:val="24"/>
                <w:szCs w:val="24"/>
              </w:rPr>
              <w:t>ompromiso con la calidad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5F85" w:rsidRDefault="00B75F85" w:rsidP="00104833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B75F85" w:rsidRDefault="00B75F85" w:rsidP="00104833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liderar y tomar decisiones.</w:t>
            </w:r>
          </w:p>
          <w:p w:rsidR="00B75F85" w:rsidRDefault="00B75F85" w:rsidP="0010483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F85" w:rsidRDefault="00B75F85" w:rsidP="0010483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B75F85" w:rsidRPr="009F49E1" w:rsidRDefault="00B75F85" w:rsidP="001048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B75F85" w:rsidRDefault="00B75F85" w:rsidP="00104833">
            <w:pPr>
              <w:pStyle w:val="Normal1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B75F85" w:rsidRPr="009F49E1" w:rsidRDefault="00B75F85" w:rsidP="00104833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B75F85" w:rsidRDefault="00B75F85" w:rsidP="00104833">
            <w:pPr>
              <w:pStyle w:val="Normal1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B75F85" w:rsidRPr="00B75F85" w:rsidRDefault="00B75F85" w:rsidP="00B75F85">
            <w:pPr>
              <w:pStyle w:val="Normal1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61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EB1D61" w:rsidRPr="00652133" w:rsidTr="00B625B4">
        <w:tc>
          <w:tcPr>
            <w:tcW w:w="9214" w:type="dxa"/>
            <w:gridSpan w:val="3"/>
          </w:tcPr>
          <w:p w:rsidR="00E8410F" w:rsidRPr="00B33904" w:rsidRDefault="00E8410F" w:rsidP="0010483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Clínica de Neonatología II contribuirá </w:t>
            </w: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>al desarrollo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siguientes competencias: </w:t>
            </w:r>
          </w:p>
          <w:p w:rsidR="002C38B8" w:rsidRPr="00C07397" w:rsidRDefault="00E8410F" w:rsidP="0010483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397">
              <w:rPr>
                <w:rFonts w:ascii="Times New Roman" w:hAnsi="Times New Roman" w:cs="Times New Roman"/>
                <w:sz w:val="24"/>
                <w:szCs w:val="24"/>
              </w:rPr>
              <w:t>Contrastar las diversas patologías que puede presentar el recién nacido y el manejo clínico de cada una de ellas.</w:t>
            </w:r>
          </w:p>
          <w:p w:rsidR="002C38B8" w:rsidRDefault="00E8410F" w:rsidP="001048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8B8">
              <w:rPr>
                <w:rFonts w:ascii="Times New Roman" w:hAnsi="Times New Roman" w:cs="Times New Roman"/>
                <w:sz w:val="24"/>
                <w:szCs w:val="24"/>
              </w:rPr>
              <w:t xml:space="preserve">Distinguir la importancia de una atención integral al recién nacido que presente alguna patología y se encuentre hospitalizado en la Unidad de Neonatología. </w:t>
            </w:r>
          </w:p>
          <w:p w:rsidR="00E8410F" w:rsidRPr="002C38B8" w:rsidRDefault="002C38B8" w:rsidP="001048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8B8">
              <w:rPr>
                <w:rFonts w:ascii="Times New Roman" w:hAnsi="Times New Roman" w:cs="Times New Roman"/>
                <w:sz w:val="24"/>
                <w:szCs w:val="24"/>
              </w:rPr>
              <w:t>Brindar atención de mayor complejidad en el recién nacido patológico en coordinación con el equipo médico.</w:t>
            </w:r>
          </w:p>
          <w:p w:rsidR="00104833" w:rsidRDefault="00C07397" w:rsidP="0010483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>Reconocer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importancia de</w:t>
            </w: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 xml:space="preserve"> la gestión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 xml:space="preserve">uidado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2355F8">
              <w:rPr>
                <w:rFonts w:ascii="Times New Roman" w:hAnsi="Times New Roman" w:cs="Times New Roman"/>
                <w:sz w:val="24"/>
                <w:szCs w:val="24"/>
              </w:rPr>
              <w:t xml:space="preserve"> la atención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neonatal.</w:t>
            </w:r>
          </w:p>
          <w:p w:rsidR="00B83915" w:rsidRDefault="00B83915" w:rsidP="00B8391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915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ostrar </w:t>
            </w:r>
            <w:r w:rsidRPr="00B83915">
              <w:rPr>
                <w:rFonts w:ascii="Times New Roman" w:hAnsi="Times New Roman" w:cs="Times New Roman"/>
                <w:sz w:val="24"/>
                <w:szCs w:val="24"/>
              </w:rPr>
              <w:t xml:space="preserve"> respeto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persona humana, sus derechos y</w:t>
            </w:r>
            <w:r w:rsidRPr="00B83915">
              <w:rPr>
                <w:rFonts w:ascii="Times New Roman" w:hAnsi="Times New Roman" w:cs="Times New Roman"/>
                <w:sz w:val="24"/>
                <w:szCs w:val="24"/>
              </w:rPr>
              <w:t xml:space="preserve"> valores en todo el proceso de atención neonatal.</w:t>
            </w:r>
          </w:p>
          <w:p w:rsidR="00B83915" w:rsidRDefault="00B83915" w:rsidP="00B83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915" w:rsidRPr="00B83915" w:rsidRDefault="00B83915" w:rsidP="00B83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61" w:rsidRPr="00652133" w:rsidTr="00B625B4">
        <w:tc>
          <w:tcPr>
            <w:tcW w:w="3828" w:type="dxa"/>
          </w:tcPr>
          <w:p w:rsidR="00EB1D61" w:rsidRPr="00652133" w:rsidRDefault="00EB1D61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EB1D61" w:rsidRPr="00652133" w:rsidRDefault="00EB1D61" w:rsidP="00B625B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7A3437" w:rsidRPr="00652133" w:rsidRDefault="00EB1D61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7A3437" w:rsidRPr="00652133" w:rsidTr="00B625B4">
        <w:tc>
          <w:tcPr>
            <w:tcW w:w="3828" w:type="dxa"/>
          </w:tcPr>
          <w:p w:rsidR="007A3437" w:rsidRPr="00C07397" w:rsidRDefault="00442CDB" w:rsidP="007A343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39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</w:p>
          <w:p w:rsidR="007A3437" w:rsidRPr="00C07397" w:rsidRDefault="007A3437" w:rsidP="007A343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739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Atención del Recién Nacido en Cuidados Básicos</w:t>
            </w:r>
            <w:r w:rsidR="00F06B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7A3437" w:rsidRPr="00E218FE" w:rsidRDefault="00C07397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Contenidos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Atención del Recién Nacido en Cuna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Control de Signos Vitales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Aseo y confort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Alimentación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Administración de medicamentos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Cateterismo vesical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Accesos vasculares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Procedimiento y materiales en la atención del recién nacido en Cuidados Básicos</w:t>
            </w:r>
          </w:p>
          <w:p w:rsidR="00B625B4" w:rsidRPr="00E218FE" w:rsidRDefault="00B625B4" w:rsidP="00B625B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B625B4" w:rsidRPr="00C07397" w:rsidRDefault="00B625B4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437" w:rsidRDefault="007A3437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3437" w:rsidRPr="00652133" w:rsidRDefault="007A3437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A3437" w:rsidRPr="00652133" w:rsidRDefault="007A3437" w:rsidP="00B625B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104833" w:rsidRDefault="00104833" w:rsidP="0010483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experiencia clínica,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82E02" w:rsidRDefault="00D82E02" w:rsidP="0010483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226" w:rsidRDefault="00276226" w:rsidP="0027622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FAD">
              <w:rPr>
                <w:rFonts w:ascii="Times New Roman" w:hAnsi="Times New Roman" w:cs="Times New Roman"/>
                <w:sz w:val="24"/>
                <w:szCs w:val="24"/>
              </w:rPr>
              <w:t xml:space="preserve">Reconoce las indicaciones médicas del recién nacido a través de la revisión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ficha clínica. </w:t>
            </w:r>
          </w:p>
          <w:p w:rsidR="00276226" w:rsidRPr="00276226" w:rsidRDefault="00276226" w:rsidP="0027622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antecedentes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perinatales y neonatales 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de importancia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la atención del recién nacido hospitalizado.</w:t>
            </w:r>
          </w:p>
          <w:p w:rsidR="007A3437" w:rsidRPr="00D82E02" w:rsidRDefault="00D82E02" w:rsidP="00D82E0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7A3437"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 atención completa del </w:t>
            </w:r>
            <w:r w:rsidR="006C2E14">
              <w:rPr>
                <w:rFonts w:ascii="Times New Roman" w:hAnsi="Times New Roman" w:cs="Times New Roman"/>
                <w:sz w:val="24"/>
                <w:szCs w:val="24"/>
              </w:rPr>
              <w:t>paciente</w:t>
            </w:r>
            <w:r w:rsidR="007A3437"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 hospitalizado en sala de cuidados básicos.</w:t>
            </w:r>
          </w:p>
          <w:p w:rsidR="007A3437" w:rsidRPr="00D82E02" w:rsidRDefault="00317DCA" w:rsidP="00D82E0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="007A3437" w:rsidRPr="00D82E02">
              <w:rPr>
                <w:rFonts w:ascii="Times New Roman" w:hAnsi="Times New Roman" w:cs="Times New Roman"/>
                <w:sz w:val="24"/>
                <w:szCs w:val="24"/>
              </w:rPr>
              <w:t>toma de exámenes de laboratorio según indicación médica.</w:t>
            </w:r>
          </w:p>
          <w:p w:rsidR="007A3437" w:rsidRDefault="00CE64D5" w:rsidP="00D82E0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 y administra </w:t>
            </w:r>
            <w:r w:rsidR="007A3437"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medicamentos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 indicación médica y Normativa vigente.</w:t>
            </w:r>
          </w:p>
          <w:p w:rsidR="001B1261" w:rsidRPr="00D82E02" w:rsidRDefault="001B1261" w:rsidP="001B126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 de exámenes en el contexto de una atención de un recién nacido patológico.</w:t>
            </w:r>
          </w:p>
          <w:p w:rsidR="001B1261" w:rsidRPr="00F06B5F" w:rsidRDefault="001B1261" w:rsidP="001B126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las indicaciones a la familia del recién nacido en el contexto al alta de hospitalización.</w:t>
            </w:r>
          </w:p>
          <w:p w:rsidR="006C2E14" w:rsidRPr="00D82E02" w:rsidRDefault="006C2E14" w:rsidP="00D82E0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Evalúa condición médica del paciente hospitalizado y </w:t>
            </w:r>
            <w:r w:rsidR="001B1261">
              <w:rPr>
                <w:rFonts w:ascii="Times New Roman" w:hAnsi="Times New Roman" w:cs="Times New Roman"/>
                <w:sz w:val="24"/>
                <w:szCs w:val="24"/>
              </w:rPr>
              <w:t>solicita atención médica.</w:t>
            </w:r>
          </w:p>
          <w:p w:rsidR="00F06B5F" w:rsidRPr="001B1261" w:rsidRDefault="00F06B5F" w:rsidP="001B126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1D61" w:rsidRPr="00652133" w:rsidTr="00B625B4">
        <w:trPr>
          <w:trHeight w:val="344"/>
        </w:trPr>
        <w:tc>
          <w:tcPr>
            <w:tcW w:w="3828" w:type="dxa"/>
          </w:tcPr>
          <w:p w:rsidR="00EB1D61" w:rsidRPr="00E218FE" w:rsidRDefault="00442CDB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</w:t>
            </w:r>
            <w:r w:rsidR="00EB1D61" w:rsidRPr="00E218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</w:p>
          <w:p w:rsidR="00EB1D61" w:rsidRPr="00E218FE" w:rsidRDefault="00EB1D61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Atención Recién Nacido Hospitalizado en Cuidados Intermedios</w:t>
            </w:r>
          </w:p>
          <w:p w:rsidR="00F06B5F" w:rsidRPr="00E218FE" w:rsidRDefault="00F06B5F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Atención del Recién Nacido en Incubadora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Control de Signos Vitales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Alimentación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 xml:space="preserve">Instalación de Sonda </w:t>
            </w:r>
            <w:proofErr w:type="spellStart"/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Nasogástrica</w:t>
            </w:r>
            <w:proofErr w:type="spellEnd"/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Administración de medicamentos y soluciones por vía endovenosa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Cateterismo vesical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Accesos vasculares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Oxigenoterapia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Nebulización del Neonato</w:t>
            </w:r>
          </w:p>
          <w:p w:rsidR="00B625B4" w:rsidRPr="007907C0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Aspiración de secreciones oro y nasofaríngeas</w:t>
            </w:r>
          </w:p>
          <w:p w:rsidR="00B625B4" w:rsidRPr="00E218FE" w:rsidRDefault="00B625B4" w:rsidP="00B625B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907C0">
              <w:rPr>
                <w:rFonts w:ascii="Times New Roman" w:hAnsi="Times New Roman" w:cs="Times New Roman"/>
                <w:sz w:val="24"/>
                <w:szCs w:val="24"/>
              </w:rPr>
              <w:t>Procedimientos y materiales en la atención del recién nacido en Cuidados Intermedios</w:t>
            </w:r>
          </w:p>
        </w:tc>
        <w:tc>
          <w:tcPr>
            <w:tcW w:w="283" w:type="dxa"/>
            <w:vMerge/>
          </w:tcPr>
          <w:p w:rsidR="00EB1D61" w:rsidRPr="00E218FE" w:rsidRDefault="00EB1D61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F06B5F" w:rsidRPr="00E218FE" w:rsidRDefault="00F06B5F" w:rsidP="00F06B5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Al término de la unidad,  en su experiencia de simulación y experiencia clínica, el  alumno:</w:t>
            </w:r>
          </w:p>
          <w:p w:rsidR="00F06B5F" w:rsidRPr="00E218FE" w:rsidRDefault="00F06B5F" w:rsidP="00F06B5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066" w:rsidRPr="00E218FE" w:rsidRDefault="005E7066" w:rsidP="005E70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Reconoce las indicaciones médicas del recién nacido hospitalizado en cuidados intermedios a través de la revisión de la ficha clínica </w:t>
            </w:r>
          </w:p>
          <w:p w:rsidR="005E7066" w:rsidRPr="00E218FE" w:rsidRDefault="005E7066" w:rsidP="005E70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Analiza antecedentes perinatales y neonatales de importancia para la atención del paciente hospitalizado en cuidados intermedios.</w:t>
            </w:r>
          </w:p>
          <w:p w:rsidR="005E7066" w:rsidRPr="00E218FE" w:rsidRDefault="005E7066" w:rsidP="005E70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Realiza atención completa del paciente hospitalizado en sala de cuidados intermedios.</w:t>
            </w:r>
          </w:p>
          <w:p w:rsidR="005E7066" w:rsidRPr="00E218FE" w:rsidRDefault="005E7066" w:rsidP="005E70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Realiza toma de exámenes de laboratorio según indicación médica en sala de  cuidados intermedios.</w:t>
            </w:r>
          </w:p>
          <w:p w:rsidR="005E7066" w:rsidRPr="00E218FE" w:rsidRDefault="005E7066" w:rsidP="00B44DC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Prepara y administra medicamentos según indicación médica y Normativa vigente</w:t>
            </w:r>
            <w:r w:rsidR="00B44DCD"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para el paciente hospitalizado en cuidados intermedios.</w:t>
            </w:r>
          </w:p>
          <w:p w:rsidR="005E7066" w:rsidRPr="00E218FE" w:rsidRDefault="005E7066" w:rsidP="00B44DC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Interpreta resultado de exámenes en el contexto de una atención de un recién nacido patológico</w:t>
            </w:r>
            <w:r w:rsidR="00B44DCD"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hospitalizado en cuidados intermedios.</w:t>
            </w:r>
          </w:p>
          <w:p w:rsidR="005E7066" w:rsidRPr="00E218FE" w:rsidRDefault="005E7066" w:rsidP="005E70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Entrega las indicaciones a la familia del recién nacido en el contexto al alta de hospitalización</w:t>
            </w:r>
            <w:r w:rsidR="00B44DCD"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de cuidados intermedios.</w:t>
            </w:r>
          </w:p>
          <w:p w:rsidR="005E7066" w:rsidRPr="00E218FE" w:rsidRDefault="005E7066" w:rsidP="00B44DC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Evalúa condición médica del paciente hospitalizado</w:t>
            </w:r>
            <w:r w:rsidR="00B44DCD"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en cuidados intermedios 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y solicita atención médica.</w:t>
            </w:r>
          </w:p>
          <w:p w:rsidR="00EB1D61" w:rsidRPr="00E218FE" w:rsidRDefault="00EB1D61" w:rsidP="00B625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  <w:r w:rsidR="002B5D7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B1D61" w:rsidRPr="00E218FE" w:rsidTr="00B625B4">
        <w:tc>
          <w:tcPr>
            <w:tcW w:w="9214" w:type="dxa"/>
          </w:tcPr>
          <w:p w:rsidR="009D5348" w:rsidRPr="00E218FE" w:rsidRDefault="009D5348" w:rsidP="00624838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</w:p>
          <w:p w:rsidR="009D5348" w:rsidRPr="00E218FE" w:rsidRDefault="009D5348" w:rsidP="00624838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Laboratorio de Simulación:  2 semanas (lunes a viernes) en media jornada, previo a su práctica clínica, corresponde al 20% de la nota final = 50 horas</w:t>
            </w:r>
          </w:p>
          <w:p w:rsidR="009D5348" w:rsidRPr="00E218FE" w:rsidRDefault="009D5348" w:rsidP="00624838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  <w:r w:rsidR="00166E05" w:rsidRPr="00E21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semanas (lunes a jueves) </w:t>
            </w:r>
            <w:r w:rsidR="00166E05" w:rsidRPr="00E218FE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jornada</w:t>
            </w:r>
            <w:r w:rsidR="00166E05"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completa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, corresponde al 70% de su evaluación final </w:t>
            </w:r>
            <w:r w:rsidR="00166E05" w:rsidRPr="00E218FE">
              <w:rPr>
                <w:rFonts w:ascii="Times New Roman" w:hAnsi="Times New Roman" w:cs="Times New Roman"/>
                <w:sz w:val="24"/>
                <w:szCs w:val="24"/>
              </w:rPr>
              <w:t>= 108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9D5348" w:rsidRPr="00E218FE" w:rsidRDefault="009D5348" w:rsidP="00624838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Trabajo de estudio de  Caso Clínico, corresponde al 10% de su evaluación final = </w:t>
            </w:r>
            <w:r w:rsidR="00166E05" w:rsidRPr="00E21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9D5348" w:rsidRPr="00E218FE" w:rsidRDefault="009D5348" w:rsidP="006248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5348" w:rsidRPr="00E218FE" w:rsidRDefault="009D5348" w:rsidP="006248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Para el cumplimiento de las actividades señaladas, se utilizarán las siguientes estrategias:</w:t>
            </w:r>
          </w:p>
          <w:p w:rsidR="009D5348" w:rsidRPr="00E218FE" w:rsidRDefault="009D5348" w:rsidP="006248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5348" w:rsidRPr="00E218FE" w:rsidRDefault="009D5348" w:rsidP="00624838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Casos clínicos para resolución de los alumnos.</w:t>
            </w:r>
          </w:p>
          <w:p w:rsidR="009D5348" w:rsidRPr="00E218FE" w:rsidRDefault="009D5348" w:rsidP="00624838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Actividades de s</w:t>
            </w:r>
            <w:r w:rsidR="00166E05" w:rsidRPr="00E218FE">
              <w:rPr>
                <w:rFonts w:ascii="Times New Roman" w:hAnsi="Times New Roman" w:cs="Times New Roman"/>
                <w:sz w:val="24"/>
                <w:szCs w:val="24"/>
              </w:rPr>
              <w:t>imulación con paciente ficticio en laboratorio de Simulación Neonatal.</w:t>
            </w:r>
          </w:p>
          <w:p w:rsidR="009D5348" w:rsidRPr="00E218FE" w:rsidRDefault="009D5348" w:rsidP="00624838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Prácticas con paciente real en la unidad de </w:t>
            </w:r>
            <w:r w:rsidR="00166E05" w:rsidRPr="00E218FE">
              <w:rPr>
                <w:rFonts w:ascii="Times New Roman" w:hAnsi="Times New Roman" w:cs="Times New Roman"/>
                <w:sz w:val="24"/>
                <w:szCs w:val="24"/>
              </w:rPr>
              <w:t>Neonatología en la sección de Cuidados básicos y cuidados intermedios.</w:t>
            </w:r>
          </w:p>
          <w:p w:rsidR="009D5348" w:rsidRPr="00E218FE" w:rsidRDefault="009D5348" w:rsidP="00624838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2B5D7E" w:rsidRPr="00E218FE" w:rsidRDefault="002B5D7E" w:rsidP="00624838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D61" w:rsidRPr="00E218FE" w:rsidRDefault="00EB1D61" w:rsidP="00166E05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C8E" w:rsidRDefault="00887C8E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C8E" w:rsidRDefault="00887C8E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C8E" w:rsidRDefault="00887C8E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B1D61" w:rsidRPr="00652133" w:rsidTr="00B625B4">
        <w:tc>
          <w:tcPr>
            <w:tcW w:w="9214" w:type="dxa"/>
          </w:tcPr>
          <w:p w:rsidR="007D6300" w:rsidRPr="00E218FE" w:rsidRDefault="007D6300" w:rsidP="00624838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Laboratorio de Simulación: corresponde al 20% de la nota final.</w:t>
            </w:r>
          </w:p>
          <w:p w:rsidR="007D6300" w:rsidRPr="00E218FE" w:rsidRDefault="007D6300" w:rsidP="00624838">
            <w:pPr>
              <w:pStyle w:val="Prrafodelista"/>
              <w:numPr>
                <w:ilvl w:val="1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7D6300" w:rsidRPr="00E218FE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tipo taller al inicio del periodo de laboratorios.</w:t>
            </w:r>
          </w:p>
          <w:p w:rsidR="007D6300" w:rsidRPr="00E218FE" w:rsidRDefault="007D6300" w:rsidP="00E218F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300" w:rsidRPr="004C64AC" w:rsidRDefault="007D6300" w:rsidP="00624838">
            <w:pPr>
              <w:pStyle w:val="Prrafodelista"/>
              <w:numPr>
                <w:ilvl w:val="1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7D6300" w:rsidRPr="004C64AC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7D6300" w:rsidRPr="00F7501D" w:rsidRDefault="007D6300" w:rsidP="00624838">
            <w:pPr>
              <w:pStyle w:val="Prrafodelista"/>
              <w:spacing w:after="0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D6300" w:rsidRPr="004C64AC" w:rsidRDefault="007D6300" w:rsidP="00624838">
            <w:pPr>
              <w:pStyle w:val="Prrafodelista"/>
              <w:numPr>
                <w:ilvl w:val="1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D6300" w:rsidRPr="004C64AC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7D6300" w:rsidRPr="004C64AC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7D6300" w:rsidRPr="004C64AC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tipo </w:t>
            </w:r>
            <w:r w:rsidR="000D599F">
              <w:rPr>
                <w:rFonts w:ascii="Times New Roman" w:hAnsi="Times New Roman" w:cs="Times New Roman"/>
                <w:sz w:val="24"/>
                <w:szCs w:val="24"/>
              </w:rPr>
              <w:t>Examen clínico Objetivo Estructurado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ECOE</w:t>
            </w:r>
            <w:r w:rsidR="000D59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: 50% de nota de laboratorio.</w:t>
            </w:r>
          </w:p>
          <w:p w:rsidR="007D6300" w:rsidRPr="004C64AC" w:rsidRDefault="007D6300" w:rsidP="00624838">
            <w:pPr>
              <w:pStyle w:val="Prrafodelista"/>
              <w:spacing w:after="0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300" w:rsidRPr="004C64AC" w:rsidRDefault="007D6300" w:rsidP="00624838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corresponde al  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70% de su</w:t>
            </w: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 nota final.</w:t>
            </w:r>
          </w:p>
          <w:p w:rsidR="007D6300" w:rsidRPr="004C64AC" w:rsidRDefault="007D6300" w:rsidP="00624838">
            <w:pPr>
              <w:pStyle w:val="Prrafodelista"/>
              <w:numPr>
                <w:ilvl w:val="1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7D6300" w:rsidRPr="004C64AC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7D6300" w:rsidRPr="004C64AC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>preevaluar</w:t>
            </w:r>
            <w:proofErr w:type="spellEnd"/>
            <w:r w:rsidRPr="004C64AC">
              <w:rPr>
                <w:rFonts w:ascii="Times New Roman" w:hAnsi="Times New Roman" w:cs="Times New Roman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7D6300" w:rsidRPr="004F383E" w:rsidRDefault="007D6300" w:rsidP="006248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D6300" w:rsidRPr="00C90996" w:rsidRDefault="007D6300" w:rsidP="00624838">
            <w:pPr>
              <w:pStyle w:val="Prrafodelista"/>
              <w:numPr>
                <w:ilvl w:val="1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: En esta práctica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evalúan las dos unidades por separado, </w:t>
            </w: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 en cada una se aplican tres pautas de evaluación del desempeño clínico del estudiante, en las  que se evalúan los aspectos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, procedimentales y cognoscitivos. El primer día de inicio de la práctica el tutor deberá dar lectura a las pautas de evaluación de desempeño y dejar registrado este evento en hoja ad-hoc con firma del estudiante.</w:t>
            </w:r>
          </w:p>
          <w:p w:rsidR="007D6300" w:rsidRPr="00C90996" w:rsidRDefault="007D6300" w:rsidP="00624838">
            <w:pPr>
              <w:pStyle w:val="Prrafodelista"/>
              <w:spacing w:after="0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300" w:rsidRPr="00887C8E" w:rsidRDefault="007D6300" w:rsidP="00887C8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  <w:r w:rsidRPr="00887C8E">
              <w:rPr>
                <w:rFonts w:ascii="Times New Roman" w:hAnsi="Times New Roman" w:cs="Times New Roman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7D6300" w:rsidRPr="00C90996" w:rsidRDefault="007D6300" w:rsidP="006248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300" w:rsidRPr="00C90996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Área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Actitudinal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: 20%</w:t>
            </w:r>
          </w:p>
          <w:p w:rsidR="007D6300" w:rsidRPr="00C90996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Área Cognoscitiva: 40%</w:t>
            </w:r>
          </w:p>
          <w:p w:rsidR="007D6300" w:rsidRPr="00C90996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Área Procedimental: 40%</w:t>
            </w:r>
          </w:p>
          <w:p w:rsidR="007D6300" w:rsidRPr="00C90996" w:rsidRDefault="007D6300" w:rsidP="006248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300" w:rsidRPr="00C90996" w:rsidRDefault="007D6300" w:rsidP="00624838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Trabajo de estudio y presentación de Caso Clínico. Corresponde </w:t>
            </w:r>
            <w:r w:rsidRPr="00E218FE">
              <w:rPr>
                <w:rFonts w:ascii="Times New Roman" w:hAnsi="Times New Roman" w:cs="Times New Roman"/>
                <w:sz w:val="24"/>
                <w:szCs w:val="24"/>
              </w:rPr>
              <w:t>al 10%</w:t>
            </w: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 de la nota final.</w:t>
            </w:r>
          </w:p>
          <w:p w:rsidR="007D6300" w:rsidRPr="00C90996" w:rsidRDefault="007D6300" w:rsidP="00624838">
            <w:pPr>
              <w:pStyle w:val="Prrafodelista"/>
              <w:numPr>
                <w:ilvl w:val="1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6300" w:rsidRPr="00C90996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Presentación informe escrito: 60% de la nota.</w:t>
            </w:r>
          </w:p>
          <w:p w:rsidR="007D6300" w:rsidRPr="00C90996" w:rsidRDefault="007D6300" w:rsidP="00624838">
            <w:pPr>
              <w:pStyle w:val="Prrafodelista"/>
              <w:numPr>
                <w:ilvl w:val="2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996">
              <w:rPr>
                <w:rFonts w:ascii="Times New Roman" w:hAnsi="Times New Roman" w:cs="Times New Roman"/>
                <w:sz w:val="24"/>
                <w:szCs w:val="24"/>
              </w:rPr>
              <w:t>Presentación oral: 40% de la nota.</w:t>
            </w:r>
          </w:p>
          <w:p w:rsidR="00EB1D61" w:rsidRPr="00652133" w:rsidRDefault="00EB1D61" w:rsidP="007D63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1D61" w:rsidRPr="00652133" w:rsidRDefault="00EB1D61" w:rsidP="00EB1D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133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EB1D61" w:rsidRPr="00652133" w:rsidTr="00B625B4">
        <w:tc>
          <w:tcPr>
            <w:tcW w:w="9214" w:type="dxa"/>
          </w:tcPr>
          <w:p w:rsidR="00FA209A" w:rsidRPr="00FD3C47" w:rsidRDefault="00FA209A" w:rsidP="00624838">
            <w:pPr>
              <w:spacing w:after="0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Obligatoria.</w:t>
            </w:r>
          </w:p>
          <w:p w:rsidR="00EB1D61" w:rsidRPr="00FA209A" w:rsidRDefault="00EB1D61" w:rsidP="0097334D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Tapia, J. (2008) Neonatología. (3 </w:t>
            </w: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Mediterráneo.</w:t>
            </w:r>
          </w:p>
          <w:p w:rsidR="00FA209A" w:rsidRPr="00FA209A" w:rsidRDefault="00FA209A" w:rsidP="0097334D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Cloherty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, J. </w:t>
            </w: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Eichenwald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, E. Hansen, A. </w:t>
            </w:r>
            <w:r w:rsidRPr="000D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Stark, A. (2012) Manual de </w:t>
            </w: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Neonatología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(7º </w:t>
            </w:r>
            <w:proofErr w:type="spellStart"/>
            <w:proofErr w:type="gram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ed</w:t>
            </w:r>
            <w:proofErr w:type="spellEnd"/>
            <w:proofErr w:type="gram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). Editorial Lippincott Williams and </w:t>
            </w: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Wilkins.Wolters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Kluwer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Health.</w:t>
            </w:r>
          </w:p>
          <w:p w:rsidR="00FA209A" w:rsidRPr="00FA209A" w:rsidRDefault="00EB1D61" w:rsidP="0097334D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Ceriani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, J. (2009) Neonatología Práctica. (4 </w:t>
            </w: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Médica Panamericana.</w:t>
            </w:r>
          </w:p>
          <w:p w:rsidR="00EB1D61" w:rsidRPr="00FA209A" w:rsidRDefault="00EB1D61" w:rsidP="0097334D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MINSAL. Guías Nacionales de Neonatología. (2005) Ministerio de Salud de Chile.</w:t>
            </w:r>
          </w:p>
          <w:p w:rsidR="00FA209A" w:rsidRDefault="00FA209A" w:rsidP="006248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9A" w:rsidRPr="00FA209A" w:rsidRDefault="00FA209A" w:rsidP="00624838">
            <w:pPr>
              <w:spacing w:after="0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EB1D61" w:rsidRPr="000D599F" w:rsidRDefault="00EB1D61" w:rsidP="0097334D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Gomella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, T. (2009)  Neonatología. (5 </w:t>
            </w:r>
            <w:proofErr w:type="spellStart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Médica Panamericana.</w:t>
            </w:r>
          </w:p>
          <w:p w:rsidR="00EB1D61" w:rsidRPr="000D599F" w:rsidRDefault="00EB1D61" w:rsidP="0097334D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99F">
              <w:rPr>
                <w:rFonts w:ascii="Times New Roman" w:eastAsia="Merriweather" w:hAnsi="Times New Roman" w:cs="Times New Roman"/>
                <w:sz w:val="24"/>
                <w:szCs w:val="24"/>
              </w:rPr>
              <w:t>Fernández, P. Caballero, E.</w:t>
            </w:r>
            <w:r w:rsidRPr="000D599F">
              <w:rPr>
                <w:rFonts w:ascii="Times New Roman" w:eastAsia="Merriweather" w:hAnsi="Times New Roman" w:cs="Times New Roman"/>
                <w:color w:val="215868"/>
                <w:sz w:val="24"/>
                <w:szCs w:val="24"/>
              </w:rPr>
              <w:t xml:space="preserve"> </w:t>
            </w:r>
            <w:r w:rsidRPr="000D599F">
              <w:rPr>
                <w:rFonts w:ascii="Times New Roman" w:hAnsi="Times New Roman" w:cs="Times New Roman"/>
                <w:sz w:val="24"/>
                <w:szCs w:val="24"/>
              </w:rPr>
              <w:t>&amp; Medina G. (2010) Manual de Enfermería Neonatal. Editorial Mediterráneo.</w:t>
            </w:r>
          </w:p>
          <w:p w:rsidR="00EB1D61" w:rsidRPr="000D599F" w:rsidRDefault="00FA209A" w:rsidP="0097334D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 A.</w:t>
            </w:r>
            <w:r w:rsidR="00EB1D61" w:rsidRPr="000D5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(2011). Obstetricia. Santiago de Chile: Editorial Mediterráneo.</w:t>
            </w:r>
          </w:p>
          <w:p w:rsidR="00EB1D61" w:rsidRPr="000D599F" w:rsidRDefault="00EB1D61" w:rsidP="0097334D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Oyarzún</w:t>
            </w:r>
            <w:proofErr w:type="spellEnd"/>
            <w:r w:rsidRPr="000D5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EB1D61" w:rsidRPr="00901732" w:rsidRDefault="00EB1D61" w:rsidP="00624838">
            <w:pPr>
              <w:pStyle w:val="Prrafodelista"/>
              <w:spacing w:after="0"/>
              <w:ind w:left="25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B1D61" w:rsidRPr="00887C8E" w:rsidRDefault="00EB1D61" w:rsidP="00887C8E">
            <w:pPr>
              <w:spacing w:after="0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33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EB1D61" w:rsidRDefault="00FA209A" w:rsidP="0097334D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209A">
              <w:rPr>
                <w:rFonts w:ascii="Times New Roman" w:hAnsi="Times New Roman" w:cs="Times New Roman"/>
                <w:sz w:val="24"/>
                <w:szCs w:val="24"/>
              </w:rPr>
              <w:t>http://web.minsal.cl/infecciones_intrahospitalarias.</w:t>
            </w:r>
          </w:p>
          <w:p w:rsidR="00624838" w:rsidRDefault="00624838" w:rsidP="00887C8E">
            <w:pPr>
              <w:spacing w:after="0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aprendizaje:</w:t>
            </w:r>
          </w:p>
          <w:p w:rsidR="00EB4646" w:rsidRDefault="00EB4646" w:rsidP="0097334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Laboratorios de Simulación Neonatal.</w:t>
            </w:r>
          </w:p>
          <w:p w:rsidR="00EB4646" w:rsidRPr="00EB4646" w:rsidRDefault="00EB4646" w:rsidP="0097334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EB4646">
              <w:rPr>
                <w:rFonts w:ascii="Times New Roman" w:hAnsi="Times New Roman" w:cs="Times New Roman"/>
                <w:sz w:val="24"/>
                <w:szCs w:val="24"/>
              </w:rPr>
              <w:t>idad de Neonatología en la sección de Cuidados básicos y cuidados intermedios.</w:t>
            </w:r>
          </w:p>
          <w:p w:rsidR="00EB4646" w:rsidRPr="004F383E" w:rsidRDefault="00EB4646" w:rsidP="0097334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Equipamiento e instrumental para procedimientos Neonatales.</w:t>
            </w:r>
          </w:p>
          <w:p w:rsidR="00EB4646" w:rsidRPr="004F383E" w:rsidRDefault="00EB4646" w:rsidP="0097334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83E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4F383E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 e intermedia.</w:t>
            </w:r>
          </w:p>
          <w:p w:rsidR="00784A7B" w:rsidRPr="00E218FE" w:rsidRDefault="00784A7B" w:rsidP="0097334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preparación y administración de medicamentos.</w:t>
            </w:r>
          </w:p>
        </w:tc>
      </w:tr>
    </w:tbl>
    <w:p w:rsidR="00EB1D61" w:rsidRDefault="00EB1D61" w:rsidP="00EB1D61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p w:rsidR="00B625B4" w:rsidRDefault="00B625B4"/>
    <w:sectPr w:rsidR="00B625B4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5B4" w:rsidRDefault="00B625B4" w:rsidP="00EB1D61">
      <w:pPr>
        <w:spacing w:after="0" w:line="240" w:lineRule="auto"/>
      </w:pPr>
      <w:r>
        <w:separator/>
      </w:r>
    </w:p>
  </w:endnote>
  <w:endnote w:type="continuationSeparator" w:id="0">
    <w:p w:rsidR="00B625B4" w:rsidRDefault="00B625B4" w:rsidP="00EB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5B4" w:rsidRDefault="00B625B4" w:rsidP="00EB1D61">
      <w:pPr>
        <w:spacing w:after="0" w:line="240" w:lineRule="auto"/>
      </w:pPr>
      <w:r>
        <w:separator/>
      </w:r>
    </w:p>
  </w:footnote>
  <w:footnote w:type="continuationSeparator" w:id="0">
    <w:p w:rsidR="00B625B4" w:rsidRDefault="00B625B4" w:rsidP="00EB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B625B4" w:rsidTr="00B625B4">
      <w:trPr>
        <w:jc w:val="center"/>
      </w:trPr>
      <w:tc>
        <w:tcPr>
          <w:tcW w:w="2023" w:type="dxa"/>
        </w:tcPr>
        <w:p w:rsidR="00B625B4" w:rsidRDefault="00B625B4" w:rsidP="00B625B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5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B625B4" w:rsidRDefault="00B625B4" w:rsidP="00B625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B625B4" w:rsidRPr="00607538" w:rsidRDefault="007A0EAE" w:rsidP="00B625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B625B4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B625B4" w:rsidRPr="00607538" w:rsidRDefault="00B625B4" w:rsidP="00B625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B625B4" w:rsidRPr="00607538" w:rsidRDefault="00B625B4" w:rsidP="00B625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B625B4" w:rsidRPr="00607538" w:rsidRDefault="00B625B4" w:rsidP="00B625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B625B4" w:rsidRDefault="00B625B4" w:rsidP="00B625B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5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625B4" w:rsidRDefault="00B625B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590"/>
    <w:multiLevelType w:val="hybridMultilevel"/>
    <w:tmpl w:val="9EDCE5E0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9D1B09"/>
    <w:multiLevelType w:val="hybridMultilevel"/>
    <w:tmpl w:val="BFA005E8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6134464"/>
    <w:multiLevelType w:val="hybridMultilevel"/>
    <w:tmpl w:val="F56CF4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9543C4"/>
    <w:multiLevelType w:val="hybridMultilevel"/>
    <w:tmpl w:val="0CA6799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927C88"/>
    <w:multiLevelType w:val="hybridMultilevel"/>
    <w:tmpl w:val="7F660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95208"/>
    <w:multiLevelType w:val="hybridMultilevel"/>
    <w:tmpl w:val="79040E4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E56D59"/>
    <w:multiLevelType w:val="hybridMultilevel"/>
    <w:tmpl w:val="9DBE1C0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226E0B"/>
    <w:multiLevelType w:val="hybridMultilevel"/>
    <w:tmpl w:val="85E0681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20E23329"/>
    <w:multiLevelType w:val="hybridMultilevel"/>
    <w:tmpl w:val="F15AC21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271913CD"/>
    <w:multiLevelType w:val="hybridMultilevel"/>
    <w:tmpl w:val="B4C8D16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9F56624"/>
    <w:multiLevelType w:val="hybridMultilevel"/>
    <w:tmpl w:val="76146F0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>
    <w:nsid w:val="2E7159A1"/>
    <w:multiLevelType w:val="hybridMultilevel"/>
    <w:tmpl w:val="E6AE40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E8B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760C5"/>
    <w:multiLevelType w:val="hybridMultilevel"/>
    <w:tmpl w:val="679653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63390"/>
    <w:multiLevelType w:val="hybridMultilevel"/>
    <w:tmpl w:val="B76063B4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440E4F"/>
    <w:multiLevelType w:val="hybridMultilevel"/>
    <w:tmpl w:val="631A740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42D11825"/>
    <w:multiLevelType w:val="hybridMultilevel"/>
    <w:tmpl w:val="FAE4923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DB6314"/>
    <w:multiLevelType w:val="hybridMultilevel"/>
    <w:tmpl w:val="7C1A5FB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F3870"/>
    <w:multiLevelType w:val="hybridMultilevel"/>
    <w:tmpl w:val="D5828BEC"/>
    <w:lvl w:ilvl="0" w:tplc="F1EA4FC8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">
    <w:nsid w:val="51D77B07"/>
    <w:multiLevelType w:val="hybridMultilevel"/>
    <w:tmpl w:val="00E0016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>
    <w:nsid w:val="583A0180"/>
    <w:multiLevelType w:val="hybridMultilevel"/>
    <w:tmpl w:val="2A38FFF0"/>
    <w:lvl w:ilvl="0" w:tplc="45F65E7C">
      <w:start w:val="1"/>
      <w:numFmt w:val="decimal"/>
      <w:lvlText w:val="%1."/>
      <w:lvlJc w:val="left"/>
      <w:pPr>
        <w:ind w:left="25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890F9B"/>
    <w:multiLevelType w:val="hybridMultilevel"/>
    <w:tmpl w:val="C64E434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524F9A"/>
    <w:multiLevelType w:val="hybridMultilevel"/>
    <w:tmpl w:val="1AEE65EA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FB02A8"/>
    <w:multiLevelType w:val="hybridMultilevel"/>
    <w:tmpl w:val="2E3C0F0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A95B5A"/>
    <w:multiLevelType w:val="hybridMultilevel"/>
    <w:tmpl w:val="916C7C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24"/>
  </w:num>
  <w:num w:numId="5">
    <w:abstractNumId w:val="5"/>
  </w:num>
  <w:num w:numId="6">
    <w:abstractNumId w:val="11"/>
  </w:num>
  <w:num w:numId="7">
    <w:abstractNumId w:val="14"/>
  </w:num>
  <w:num w:numId="8">
    <w:abstractNumId w:val="17"/>
  </w:num>
  <w:num w:numId="9">
    <w:abstractNumId w:val="29"/>
  </w:num>
  <w:num w:numId="10">
    <w:abstractNumId w:val="19"/>
  </w:num>
  <w:num w:numId="11">
    <w:abstractNumId w:val="15"/>
  </w:num>
  <w:num w:numId="12">
    <w:abstractNumId w:val="4"/>
  </w:num>
  <w:num w:numId="13">
    <w:abstractNumId w:val="16"/>
  </w:num>
  <w:num w:numId="14">
    <w:abstractNumId w:val="27"/>
  </w:num>
  <w:num w:numId="15">
    <w:abstractNumId w:val="2"/>
  </w:num>
  <w:num w:numId="16">
    <w:abstractNumId w:val="20"/>
  </w:num>
  <w:num w:numId="17">
    <w:abstractNumId w:val="25"/>
  </w:num>
  <w:num w:numId="18">
    <w:abstractNumId w:val="21"/>
  </w:num>
  <w:num w:numId="19">
    <w:abstractNumId w:val="13"/>
  </w:num>
  <w:num w:numId="20">
    <w:abstractNumId w:val="22"/>
  </w:num>
  <w:num w:numId="21">
    <w:abstractNumId w:val="3"/>
  </w:num>
  <w:num w:numId="22">
    <w:abstractNumId w:val="7"/>
  </w:num>
  <w:num w:numId="23">
    <w:abstractNumId w:val="8"/>
  </w:num>
  <w:num w:numId="24">
    <w:abstractNumId w:val="1"/>
  </w:num>
  <w:num w:numId="25">
    <w:abstractNumId w:val="10"/>
  </w:num>
  <w:num w:numId="26">
    <w:abstractNumId w:val="9"/>
  </w:num>
  <w:num w:numId="27">
    <w:abstractNumId w:val="26"/>
  </w:num>
  <w:num w:numId="28">
    <w:abstractNumId w:val="18"/>
  </w:num>
  <w:num w:numId="29">
    <w:abstractNumId w:val="28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B1D61"/>
    <w:rsid w:val="0007051F"/>
    <w:rsid w:val="000B000E"/>
    <w:rsid w:val="000D599F"/>
    <w:rsid w:val="000F12EB"/>
    <w:rsid w:val="00104833"/>
    <w:rsid w:val="00155E44"/>
    <w:rsid w:val="00166E05"/>
    <w:rsid w:val="0019703B"/>
    <w:rsid w:val="001B1261"/>
    <w:rsid w:val="001D65E1"/>
    <w:rsid w:val="0026056B"/>
    <w:rsid w:val="00276226"/>
    <w:rsid w:val="002B5D7E"/>
    <w:rsid w:val="002B72E7"/>
    <w:rsid w:val="002C38B8"/>
    <w:rsid w:val="002D4E44"/>
    <w:rsid w:val="00301FAD"/>
    <w:rsid w:val="00317DCA"/>
    <w:rsid w:val="003221B8"/>
    <w:rsid w:val="003569E5"/>
    <w:rsid w:val="003A5712"/>
    <w:rsid w:val="003A7D1D"/>
    <w:rsid w:val="003F3F33"/>
    <w:rsid w:val="00442CDB"/>
    <w:rsid w:val="004C05D4"/>
    <w:rsid w:val="005A2EE6"/>
    <w:rsid w:val="005E7066"/>
    <w:rsid w:val="005F7634"/>
    <w:rsid w:val="00624838"/>
    <w:rsid w:val="00656352"/>
    <w:rsid w:val="006576CD"/>
    <w:rsid w:val="0069465D"/>
    <w:rsid w:val="006C2E14"/>
    <w:rsid w:val="006F5EAC"/>
    <w:rsid w:val="00784A7B"/>
    <w:rsid w:val="007907C0"/>
    <w:rsid w:val="007A0EAE"/>
    <w:rsid w:val="007A3437"/>
    <w:rsid w:val="007D6300"/>
    <w:rsid w:val="00820145"/>
    <w:rsid w:val="00887C8E"/>
    <w:rsid w:val="009439D0"/>
    <w:rsid w:val="0097334D"/>
    <w:rsid w:val="009A784C"/>
    <w:rsid w:val="009D5348"/>
    <w:rsid w:val="00A25075"/>
    <w:rsid w:val="00A80D0E"/>
    <w:rsid w:val="00A879AF"/>
    <w:rsid w:val="00A97353"/>
    <w:rsid w:val="00B44DCD"/>
    <w:rsid w:val="00B625B4"/>
    <w:rsid w:val="00B6593E"/>
    <w:rsid w:val="00B75F85"/>
    <w:rsid w:val="00B83915"/>
    <w:rsid w:val="00C07397"/>
    <w:rsid w:val="00CB1CE7"/>
    <w:rsid w:val="00CE64D5"/>
    <w:rsid w:val="00D2057C"/>
    <w:rsid w:val="00D33664"/>
    <w:rsid w:val="00D47277"/>
    <w:rsid w:val="00D82E02"/>
    <w:rsid w:val="00D86C3E"/>
    <w:rsid w:val="00E218FE"/>
    <w:rsid w:val="00E8410F"/>
    <w:rsid w:val="00EB1D61"/>
    <w:rsid w:val="00EB4646"/>
    <w:rsid w:val="00F06B5F"/>
    <w:rsid w:val="00F63BD6"/>
    <w:rsid w:val="00F81790"/>
    <w:rsid w:val="00F9379C"/>
    <w:rsid w:val="00F9757B"/>
    <w:rsid w:val="00FA209A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D6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1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B1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1D61"/>
  </w:style>
  <w:style w:type="paragraph" w:styleId="Piedepgina">
    <w:name w:val="footer"/>
    <w:basedOn w:val="Normal"/>
    <w:link w:val="PiedepginaCar"/>
    <w:uiPriority w:val="99"/>
    <w:semiHidden/>
    <w:unhideWhenUsed/>
    <w:rsid w:val="00EB1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B1D61"/>
  </w:style>
  <w:style w:type="paragraph" w:styleId="Sinespaciado">
    <w:name w:val="No Spacing"/>
    <w:uiPriority w:val="1"/>
    <w:qFormat/>
    <w:rsid w:val="00EB1D61"/>
    <w:pPr>
      <w:spacing w:after="0" w:line="240" w:lineRule="auto"/>
    </w:pPr>
  </w:style>
  <w:style w:type="paragraph" w:customStyle="1" w:styleId="Normal1">
    <w:name w:val="Normal1"/>
    <w:rsid w:val="00EB1D61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D6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39D0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customStyle="1" w:styleId="Pa7">
    <w:name w:val="Pa7"/>
    <w:basedOn w:val="Default"/>
    <w:next w:val="Default"/>
    <w:rsid w:val="009439D0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sid w:val="009439D0"/>
    <w:rPr>
      <w:rFonts w:cs="CastleTLig"/>
      <w:color w:val="000000"/>
      <w:sz w:val="22"/>
      <w:szCs w:val="22"/>
    </w:rPr>
  </w:style>
  <w:style w:type="character" w:customStyle="1" w:styleId="A2">
    <w:name w:val="A2"/>
    <w:rsid w:val="009439D0"/>
    <w:rPr>
      <w:rFonts w:cs="CastleTLig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FA20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3</cp:revision>
  <dcterms:created xsi:type="dcterms:W3CDTF">2016-06-07T17:08:00Z</dcterms:created>
  <dcterms:modified xsi:type="dcterms:W3CDTF">2016-06-14T15:53:00Z</dcterms:modified>
</cp:coreProperties>
</file>