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DE7" w:rsidRPr="00C60BE2" w:rsidRDefault="00977DE7" w:rsidP="00977DE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0BE2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977DE7" w:rsidRPr="00C60BE2" w:rsidRDefault="00977DE7" w:rsidP="00977D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7DE7" w:rsidRPr="00901732" w:rsidRDefault="00CC5EBB" w:rsidP="00977DE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INTERNADO</w:t>
      </w:r>
      <w:r w:rsidR="00977DE7" w:rsidRPr="00901732">
        <w:rPr>
          <w:rFonts w:ascii="Times New Roman" w:hAnsi="Times New Roman" w:cs="Times New Roman"/>
          <w:b/>
          <w:sz w:val="24"/>
          <w:szCs w:val="24"/>
        </w:rPr>
        <w:t xml:space="preserve"> ATENCIÓN PRIMARIA Y COMUNITARIA</w:t>
      </w:r>
    </w:p>
    <w:p w:rsidR="00977DE7" w:rsidRPr="00C60BE2" w:rsidRDefault="00977DE7" w:rsidP="00977D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7DE7" w:rsidRPr="00C60BE2" w:rsidRDefault="00977DE7" w:rsidP="00977D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360"/>
        <w:gridCol w:w="65"/>
        <w:gridCol w:w="466"/>
        <w:gridCol w:w="1090"/>
        <w:gridCol w:w="429"/>
        <w:gridCol w:w="921"/>
        <w:gridCol w:w="354"/>
        <w:gridCol w:w="397"/>
        <w:gridCol w:w="29"/>
        <w:gridCol w:w="8"/>
      </w:tblGrid>
      <w:tr w:rsidR="00977DE7" w:rsidRPr="00C60BE2" w:rsidTr="00BC319C">
        <w:trPr>
          <w:gridAfter w:val="1"/>
          <w:wAfter w:w="8" w:type="dxa"/>
          <w:trHeight w:val="269"/>
        </w:trPr>
        <w:tc>
          <w:tcPr>
            <w:tcW w:w="1588" w:type="dxa"/>
          </w:tcPr>
          <w:p w:rsidR="00977DE7" w:rsidRPr="00C60BE2" w:rsidRDefault="00977DE7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977DE7" w:rsidRPr="00C60BE2" w:rsidRDefault="00977DE7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6"/>
          </w:tcPr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977DE7" w:rsidRPr="00C60BE2" w:rsidTr="00BC319C">
        <w:trPr>
          <w:gridAfter w:val="1"/>
          <w:wAfter w:w="8" w:type="dxa"/>
          <w:trHeight w:val="286"/>
        </w:trPr>
        <w:tc>
          <w:tcPr>
            <w:tcW w:w="1588" w:type="dxa"/>
          </w:tcPr>
          <w:p w:rsidR="00977DE7" w:rsidRPr="00C60BE2" w:rsidRDefault="00977DE7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6"/>
          </w:tcPr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IAP</w:t>
            </w:r>
            <w:r w:rsidR="00BC319C">
              <w:rPr>
                <w:rFonts w:ascii="Times New Roman" w:hAnsi="Times New Roman" w:cs="Times New Roman"/>
                <w:sz w:val="24"/>
                <w:szCs w:val="24"/>
              </w:rPr>
              <w:t>1501</w:t>
            </w:r>
          </w:p>
        </w:tc>
      </w:tr>
      <w:tr w:rsidR="00977DE7" w:rsidRPr="00C60BE2" w:rsidTr="00BC319C">
        <w:trPr>
          <w:gridAfter w:val="1"/>
          <w:wAfter w:w="8" w:type="dxa"/>
          <w:trHeight w:val="269"/>
        </w:trPr>
        <w:tc>
          <w:tcPr>
            <w:tcW w:w="1588" w:type="dxa"/>
          </w:tcPr>
          <w:p w:rsidR="00977DE7" w:rsidRPr="00C60BE2" w:rsidRDefault="00977DE7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6"/>
          </w:tcPr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</w:tr>
      <w:tr w:rsidR="00977DE7" w:rsidRPr="00C60BE2" w:rsidTr="00BC319C">
        <w:trPr>
          <w:gridAfter w:val="2"/>
          <w:wAfter w:w="37" w:type="dxa"/>
          <w:trHeight w:val="1194"/>
        </w:trPr>
        <w:tc>
          <w:tcPr>
            <w:tcW w:w="1588" w:type="dxa"/>
          </w:tcPr>
          <w:p w:rsidR="00977DE7" w:rsidRPr="00C60BE2" w:rsidRDefault="00977DE7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  <w:gridSpan w:val="3"/>
          </w:tcPr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360" w:type="dxa"/>
          </w:tcPr>
          <w:p w:rsidR="00977DE7" w:rsidRPr="00C60BE2" w:rsidRDefault="00192BAB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5"/>
          </w:tcPr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51" w:type="dxa"/>
            <w:gridSpan w:val="2"/>
          </w:tcPr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92B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77DE7" w:rsidRPr="00C60BE2" w:rsidTr="00BC319C">
        <w:trPr>
          <w:gridAfter w:val="1"/>
          <w:wAfter w:w="8" w:type="dxa"/>
          <w:trHeight w:val="269"/>
        </w:trPr>
        <w:tc>
          <w:tcPr>
            <w:tcW w:w="10349" w:type="dxa"/>
            <w:gridSpan w:val="17"/>
          </w:tcPr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DE7" w:rsidRPr="00C60BE2" w:rsidTr="00BC319C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977DE7" w:rsidRPr="00C60BE2" w:rsidRDefault="00977DE7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7DE7" w:rsidRPr="00C60BE2" w:rsidRDefault="00977DE7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77DE7" w:rsidRPr="00C60BE2" w:rsidRDefault="00977DE7" w:rsidP="0098605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</w:tcPr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DE7" w:rsidRPr="00C60BE2" w:rsidRDefault="00977DE7" w:rsidP="00986053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977DE7" w:rsidRPr="00C60BE2" w:rsidRDefault="00977DE7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DE7" w:rsidRPr="00C60BE2" w:rsidRDefault="00977DE7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977DE7" w:rsidRPr="00C60BE2" w:rsidRDefault="00977DE7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DE7" w:rsidRPr="00C60BE2" w:rsidRDefault="00977DE7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DE7" w:rsidRPr="00C60BE2" w:rsidRDefault="00977DE7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977DE7" w:rsidRPr="00C60BE2" w:rsidRDefault="00977DE7" w:rsidP="009860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977DE7" w:rsidRPr="00C60BE2" w:rsidRDefault="00977DE7" w:rsidP="009860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DE7" w:rsidRPr="00C60BE2" w:rsidRDefault="00977DE7" w:rsidP="0098605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DE7" w:rsidRPr="00C60BE2" w:rsidTr="00BC319C">
        <w:trPr>
          <w:gridAfter w:val="1"/>
          <w:wAfter w:w="8" w:type="dxa"/>
          <w:trHeight w:val="342"/>
        </w:trPr>
        <w:tc>
          <w:tcPr>
            <w:tcW w:w="1588" w:type="dxa"/>
          </w:tcPr>
          <w:p w:rsidR="00977DE7" w:rsidRPr="00C60BE2" w:rsidRDefault="00977DE7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6"/>
            <w:tcBorders>
              <w:top w:val="nil"/>
              <w:right w:val="single" w:sz="4" w:space="0" w:color="auto"/>
            </w:tcBorders>
          </w:tcPr>
          <w:p w:rsidR="00977DE7" w:rsidRPr="00C60BE2" w:rsidRDefault="00977DE7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DE7" w:rsidRPr="00C60BE2" w:rsidTr="00BC319C">
        <w:trPr>
          <w:gridAfter w:val="1"/>
          <w:wAfter w:w="8" w:type="dxa"/>
          <w:trHeight w:val="827"/>
        </w:trPr>
        <w:tc>
          <w:tcPr>
            <w:tcW w:w="1588" w:type="dxa"/>
          </w:tcPr>
          <w:p w:rsidR="00977DE7" w:rsidRPr="00C60BE2" w:rsidRDefault="00977DE7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6"/>
          </w:tcPr>
          <w:p w:rsidR="00185913" w:rsidRDefault="00977DE7" w:rsidP="00BC319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sz w:val="24"/>
                <w:szCs w:val="24"/>
              </w:rPr>
              <w:t>Asignatura práctic</w:t>
            </w:r>
            <w:r w:rsidR="00192BAB">
              <w:rPr>
                <w:rFonts w:ascii="Times New Roman" w:hAnsi="Times New Roman" w:cs="Times New Roman"/>
                <w:sz w:val="24"/>
                <w:szCs w:val="24"/>
              </w:rPr>
              <w:t>a en que el estudiante logrará</w:t>
            </w:r>
            <w:r w:rsidR="00185913">
              <w:rPr>
                <w:rFonts w:ascii="Times New Roman" w:hAnsi="Times New Roman" w:cs="Times New Roman"/>
                <w:sz w:val="24"/>
                <w:szCs w:val="24"/>
              </w:rPr>
              <w:t xml:space="preserve"> integrar saberes desarrollados durante los niveles de formación precedentes. El estudiante </w:t>
            </w:r>
            <w:r w:rsidR="00192BAB">
              <w:rPr>
                <w:rFonts w:ascii="Times New Roman" w:hAnsi="Times New Roman" w:cs="Times New Roman"/>
                <w:sz w:val="24"/>
                <w:szCs w:val="24"/>
              </w:rPr>
              <w:t>aplicar</w:t>
            </w:r>
            <w:r w:rsidR="00185913">
              <w:rPr>
                <w:rFonts w:ascii="Times New Roman" w:hAnsi="Times New Roman" w:cs="Times New Roman"/>
                <w:sz w:val="24"/>
                <w:szCs w:val="24"/>
              </w:rPr>
              <w:t xml:space="preserve">á conocimientos, habilidades, destrezas y actitudes necesarias en el contexto de la atención primaria </w:t>
            </w:r>
            <w:r w:rsidR="00137B11">
              <w:rPr>
                <w:rFonts w:ascii="Times New Roman" w:hAnsi="Times New Roman" w:cs="Times New Roman"/>
                <w:sz w:val="24"/>
                <w:szCs w:val="24"/>
              </w:rPr>
              <w:t>y comunitaria, de acuerdo a</w:t>
            </w:r>
            <w:r w:rsidR="00185913">
              <w:rPr>
                <w:rFonts w:ascii="Times New Roman" w:hAnsi="Times New Roman" w:cs="Times New Roman"/>
                <w:sz w:val="24"/>
                <w:szCs w:val="24"/>
              </w:rPr>
              <w:t xml:space="preserve"> los requerimientos de implementación de</w:t>
            </w:r>
            <w:r w:rsidR="00137B11">
              <w:rPr>
                <w:rFonts w:ascii="Times New Roman" w:hAnsi="Times New Roman" w:cs="Times New Roman"/>
                <w:sz w:val="24"/>
                <w:szCs w:val="24"/>
              </w:rPr>
              <w:t>l modelo de</w:t>
            </w:r>
            <w:r w:rsidR="00185913">
              <w:rPr>
                <w:rFonts w:ascii="Times New Roman" w:hAnsi="Times New Roman" w:cs="Times New Roman"/>
                <w:sz w:val="24"/>
                <w:szCs w:val="24"/>
              </w:rPr>
              <w:t xml:space="preserve"> atención en Chile.</w:t>
            </w:r>
          </w:p>
          <w:p w:rsidR="00185913" w:rsidRDefault="00185913" w:rsidP="00BC319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Además será capaz de integrarse a equipos </w:t>
            </w:r>
            <w:r w:rsidR="00137B11">
              <w:rPr>
                <w:rFonts w:ascii="Times New Roman" w:hAnsi="Times New Roman" w:cs="Times New Roman"/>
                <w:sz w:val="24"/>
                <w:szCs w:val="24"/>
              </w:rPr>
              <w:t>multidisciplinarios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al trabajo de campo con los diversos actores de la comunidad, desarrollando trabajo colaborativo, habilidades comunicacionales efectivas, compromiso </w:t>
            </w:r>
            <w:r w:rsidR="00137B11">
              <w:rPr>
                <w:rFonts w:ascii="Times New Roman" w:hAnsi="Times New Roman" w:cs="Times New Roman"/>
                <w:sz w:val="24"/>
                <w:szCs w:val="24"/>
              </w:rPr>
              <w:t>social,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empatía, flexibilidad para la resolución de problemas, acercándolo </w:t>
            </w:r>
            <w:r w:rsidR="00137B11">
              <w:rPr>
                <w:rFonts w:ascii="Times New Roman" w:hAnsi="Times New Roman" w:cs="Times New Roman"/>
                <w:sz w:val="24"/>
                <w:szCs w:val="24"/>
              </w:rPr>
              <w:t>al perfil de egreso del profesional Matrón/Matrona</w:t>
            </w:r>
            <w:r w:rsidRPr="00C60B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7DE7" w:rsidRPr="00C60BE2" w:rsidRDefault="00977DE7" w:rsidP="001859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DE7" w:rsidRPr="00C60BE2" w:rsidTr="00BC319C">
        <w:trPr>
          <w:gridAfter w:val="1"/>
          <w:wAfter w:w="8" w:type="dxa"/>
          <w:trHeight w:val="286"/>
        </w:trPr>
        <w:tc>
          <w:tcPr>
            <w:tcW w:w="1588" w:type="dxa"/>
          </w:tcPr>
          <w:p w:rsidR="00977DE7" w:rsidRPr="00C60BE2" w:rsidRDefault="00977DE7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0BE2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6"/>
          </w:tcPr>
          <w:p w:rsidR="00977DE7" w:rsidRDefault="00977DE7" w:rsidP="009860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requisitos:</w:t>
            </w:r>
          </w:p>
          <w:p w:rsidR="00977DE7" w:rsidRPr="00810A1B" w:rsidRDefault="00977DE7" w:rsidP="00977DE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A1B">
              <w:rPr>
                <w:rFonts w:ascii="Times New Roman" w:hAnsi="Times New Roman" w:cs="Times New Roman"/>
                <w:sz w:val="24"/>
                <w:szCs w:val="24"/>
              </w:rPr>
              <w:t>Proceso de Intervención Comunitaria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7DE7" w:rsidRPr="00C60BE2" w:rsidRDefault="00977DE7" w:rsidP="009860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DE7" w:rsidRPr="00C60BE2" w:rsidRDefault="00977DE7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7DE7" w:rsidRDefault="00977DE7" w:rsidP="00977DE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65D0" w:rsidRDefault="009B65D0" w:rsidP="00977DE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65D0" w:rsidRDefault="009B65D0" w:rsidP="00977DE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65D0" w:rsidRDefault="009B65D0" w:rsidP="00977DE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7DE7" w:rsidRPr="00C60BE2" w:rsidRDefault="00977DE7" w:rsidP="00977D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BE2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977DE7" w:rsidRPr="00C60BE2" w:rsidTr="00986053">
        <w:tc>
          <w:tcPr>
            <w:tcW w:w="9214" w:type="dxa"/>
          </w:tcPr>
          <w:p w:rsidR="009B65D0" w:rsidRDefault="009B65D0" w:rsidP="009B65D0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>Esta asignatura aporta al perfil del egreso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profesional Matrón- Matrona </w:t>
            </w: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desarrollando las siguientes competencias:</w:t>
            </w:r>
          </w:p>
          <w:p w:rsidR="009B65D0" w:rsidRDefault="009B65D0" w:rsidP="009B65D0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65D0" w:rsidRPr="00070F45" w:rsidRDefault="009B65D0" w:rsidP="009B65D0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Genéricas:</w:t>
            </w:r>
          </w:p>
          <w:p w:rsidR="00935FF1" w:rsidRDefault="009B65D0" w:rsidP="00935FF1">
            <w:pPr>
              <w:pStyle w:val="Prrafodelista"/>
              <w:numPr>
                <w:ilvl w:val="0"/>
                <w:numId w:val="11"/>
              </w:num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>Compromiso con la calidad</w:t>
            </w:r>
          </w:p>
          <w:p w:rsidR="009B65D0" w:rsidRPr="00935FF1" w:rsidRDefault="00935FF1" w:rsidP="00935FF1">
            <w:pPr>
              <w:pStyle w:val="Prrafodelista"/>
              <w:numPr>
                <w:ilvl w:val="0"/>
                <w:numId w:val="11"/>
              </w:numPr>
              <w:ind w:left="573"/>
              <w:rPr>
                <w:rStyle w:val="A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5FF1">
              <w:rPr>
                <w:rStyle w:val="A0"/>
                <w:rFonts w:ascii="Times New Roman" w:hAnsi="Times New Roman" w:cs="Times New Roman"/>
                <w:sz w:val="24"/>
                <w:szCs w:val="24"/>
              </w:rPr>
              <w:t>Compromiso ético</w:t>
            </w:r>
          </w:p>
          <w:p w:rsidR="00935FF1" w:rsidRDefault="00935FF1" w:rsidP="00492FCA">
            <w:pPr>
              <w:pStyle w:val="Prrafodelista"/>
              <w:numPr>
                <w:ilvl w:val="0"/>
                <w:numId w:val="11"/>
              </w:numPr>
              <w:ind w:left="573"/>
              <w:rPr>
                <w:rStyle w:val="A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A0"/>
                <w:rFonts w:ascii="Times New Roman" w:hAnsi="Times New Roman" w:cs="Times New Roman"/>
                <w:color w:val="auto"/>
                <w:sz w:val="24"/>
                <w:szCs w:val="24"/>
              </w:rPr>
              <w:t>Capacidad para liderar y tomar decisiones</w:t>
            </w:r>
          </w:p>
          <w:p w:rsidR="00492FCA" w:rsidRPr="00492FCA" w:rsidRDefault="00492FCA" w:rsidP="00492FCA">
            <w:pPr>
              <w:pStyle w:val="Prrafodelista"/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65D0" w:rsidRDefault="009B65D0" w:rsidP="009B65D0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Específicas:</w:t>
            </w:r>
          </w:p>
          <w:p w:rsidR="009B65D0" w:rsidRPr="00E2777D" w:rsidRDefault="009B65D0" w:rsidP="009B65D0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</w:t>
            </w:r>
          </w:p>
          <w:p w:rsidR="009B65D0" w:rsidRDefault="009B65D0" w:rsidP="009B65D0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9B65D0" w:rsidRDefault="009B65D0" w:rsidP="009B65D0">
            <w:pPr>
              <w:ind w:left="25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trabajo comunitario.</w:t>
            </w:r>
          </w:p>
          <w:p w:rsidR="00977DE7" w:rsidRPr="00810A1B" w:rsidRDefault="009B65D0" w:rsidP="009B65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</w:rPr>
              <w:t>Desarrollar procesos de evaluación e intervención familiar y comunitaria, utilizando herramientas de Salud Pública y metodologías participativas e intersectoriales.</w:t>
            </w:r>
          </w:p>
        </w:tc>
      </w:tr>
    </w:tbl>
    <w:p w:rsidR="00977DE7" w:rsidRDefault="00977DE7" w:rsidP="00977DE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18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075"/>
      </w:tblGrid>
      <w:tr w:rsidR="008E6D98" w:rsidTr="008774A0">
        <w:tc>
          <w:tcPr>
            <w:tcW w:w="9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98" w:rsidRPr="008E6D98" w:rsidRDefault="008E6D98" w:rsidP="008E6D9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E6D98" w:rsidTr="008774A0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98" w:rsidRDefault="008E6D9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98" w:rsidRDefault="008E6D9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98" w:rsidRDefault="008E6D9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8E6D98" w:rsidTr="008774A0">
        <w:trPr>
          <w:trHeight w:val="344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98" w:rsidRDefault="008E6D9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Unidad 1: Atención Profesional en </w:t>
            </w:r>
            <w:r w:rsidR="000F7A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 Área Obstétrica</w:t>
            </w:r>
          </w:p>
          <w:p w:rsidR="008E6D98" w:rsidRDefault="008E6D9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8E6D98" w:rsidRDefault="008E6D98" w:rsidP="008E6D98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Prenatal</w:t>
            </w:r>
          </w:p>
          <w:p w:rsidR="008E6D98" w:rsidRDefault="00AA1E34" w:rsidP="008E6D98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Consulta </w:t>
            </w:r>
            <w:r w:rsidR="008E6D98">
              <w:rPr>
                <w:rFonts w:ascii="Times New Roman" w:hAnsi="Times New Roman" w:cs="Times New Roman"/>
                <w:sz w:val="24"/>
                <w:szCs w:val="24"/>
              </w:rPr>
              <w:t>Morbilidad Obstétrica en APS</w:t>
            </w:r>
          </w:p>
          <w:p w:rsidR="008E6D98" w:rsidRDefault="008E6D98" w:rsidP="008E6D98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Atención Personalizada en el Periodo de Puerperio</w:t>
            </w:r>
          </w:p>
          <w:p w:rsidR="008E6D98" w:rsidRDefault="008E6D98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D98" w:rsidRDefault="008E6D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98" w:rsidRDefault="008E6D98" w:rsidP="003808D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 w:rsidR="003808D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alumno</w:t>
            </w:r>
            <w:r w:rsidR="003808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808DB" w:rsidRDefault="00DB781D" w:rsidP="003808D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Evalúa </w:t>
            </w:r>
            <w:r w:rsidR="003808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1E34">
              <w:rPr>
                <w:rFonts w:ascii="Times New Roman" w:hAnsi="Times New Roman" w:cs="Times New Roman"/>
                <w:sz w:val="24"/>
                <w:szCs w:val="24"/>
              </w:rPr>
              <w:t>integralmente a la mujer en el contexto de su salud sexual y reproductiva.</w:t>
            </w:r>
          </w:p>
          <w:p w:rsidR="003808DB" w:rsidRDefault="00E1432D" w:rsidP="003808D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Brinda</w:t>
            </w:r>
            <w:r w:rsidR="003808DB" w:rsidRPr="003808DB">
              <w:rPr>
                <w:rFonts w:ascii="Times New Roman" w:hAnsi="Times New Roman" w:cs="Times New Roman"/>
                <w:sz w:val="24"/>
                <w:szCs w:val="24"/>
              </w:rPr>
              <w:t xml:space="preserve"> atenciones</w:t>
            </w:r>
            <w:r w:rsidR="008E6D98" w:rsidRPr="003808DB">
              <w:rPr>
                <w:rFonts w:ascii="Times New Roman" w:hAnsi="Times New Roman" w:cs="Times New Roman"/>
                <w:sz w:val="24"/>
                <w:szCs w:val="24"/>
              </w:rPr>
              <w:t xml:space="preserve"> con enf</w:t>
            </w:r>
            <w:r w:rsidR="00AA1E34">
              <w:rPr>
                <w:rFonts w:ascii="Times New Roman" w:hAnsi="Times New Roman" w:cs="Times New Roman"/>
                <w:sz w:val="24"/>
                <w:szCs w:val="24"/>
              </w:rPr>
              <w:t>oque biopsicosocial</w:t>
            </w:r>
            <w:r w:rsidR="008E6D98" w:rsidRPr="003808DB">
              <w:rPr>
                <w:rFonts w:ascii="Times New Roman" w:hAnsi="Times New Roman" w:cs="Times New Roman"/>
                <w:sz w:val="24"/>
                <w:szCs w:val="24"/>
              </w:rPr>
              <w:t xml:space="preserve"> a mujeres </w:t>
            </w:r>
            <w:r w:rsidR="00AA1E34">
              <w:rPr>
                <w:rFonts w:ascii="Times New Roman" w:hAnsi="Times New Roman" w:cs="Times New Roman"/>
                <w:sz w:val="24"/>
                <w:szCs w:val="24"/>
              </w:rPr>
              <w:t>en el periodo Prenatal y del Puerperio.</w:t>
            </w:r>
          </w:p>
          <w:p w:rsidR="001568C8" w:rsidRPr="003808DB" w:rsidRDefault="001568C8" w:rsidP="003808D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 precozmente patologías que pongan en riesgo la salud materna-perinatal</w:t>
            </w:r>
            <w:r w:rsidR="00906C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E6D98" w:rsidRPr="003808DB" w:rsidRDefault="001568C8" w:rsidP="003808D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 a la mujer en temas que contribuyan a mejorar su salud materna-perinatal</w:t>
            </w:r>
            <w:r w:rsidR="00906C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E6D98" w:rsidRDefault="008E6D9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D98" w:rsidTr="008774A0">
        <w:trPr>
          <w:trHeight w:val="182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98" w:rsidRDefault="008E6D9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Unidad 2: Atención Profesional en el Área Ginecológica</w:t>
            </w:r>
          </w:p>
          <w:p w:rsidR="008E6D98" w:rsidRDefault="008E6D9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8E6D98" w:rsidRDefault="008E6D98" w:rsidP="008E6D9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Control Regulación de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Fecundidad</w:t>
            </w:r>
          </w:p>
          <w:p w:rsidR="008E6D98" w:rsidRDefault="008E6D98" w:rsidP="008E6D9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Ginecológico</w:t>
            </w:r>
          </w:p>
          <w:p w:rsidR="008E6D98" w:rsidRDefault="008E6D98" w:rsidP="008E6D9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 Morbilidad Ginecológica</w:t>
            </w:r>
          </w:p>
          <w:p w:rsidR="008E6D98" w:rsidRDefault="008E6D98" w:rsidP="008E6D9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Climaterio</w:t>
            </w:r>
          </w:p>
          <w:p w:rsidR="00AA1E34" w:rsidRDefault="00AA1E34" w:rsidP="00AA1E3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Atención Preconcepcional</w:t>
            </w:r>
          </w:p>
          <w:p w:rsidR="008E6D98" w:rsidRDefault="008E6D98" w:rsidP="008E6D9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 ITS y VIH/SIDA</w:t>
            </w:r>
          </w:p>
          <w:p w:rsidR="008E6D98" w:rsidRDefault="008E6D98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D98" w:rsidRDefault="008E6D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98" w:rsidRDefault="008E6D9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 w:rsidR="003C1141">
              <w:rPr>
                <w:rFonts w:ascii="Times New Roman" w:hAnsi="Times New Roman" w:cs="Times New Roman"/>
                <w:sz w:val="24"/>
                <w:szCs w:val="24"/>
              </w:rPr>
              <w:t>,  el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C1141" w:rsidRDefault="00E1432D" w:rsidP="003C1141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Brinda</w:t>
            </w:r>
            <w:r w:rsidR="003C1141" w:rsidRPr="003C1141">
              <w:rPr>
                <w:rFonts w:ascii="Times New Roman" w:hAnsi="Times New Roman" w:cs="Times New Roman"/>
                <w:sz w:val="24"/>
                <w:szCs w:val="24"/>
              </w:rPr>
              <w:t xml:space="preserve"> atenciones integrales a </w:t>
            </w:r>
            <w:r w:rsidR="008E6D98" w:rsidRPr="003C1141">
              <w:rPr>
                <w:rFonts w:ascii="Times New Roman" w:hAnsi="Times New Roman" w:cs="Times New Roman"/>
                <w:sz w:val="24"/>
                <w:szCs w:val="24"/>
              </w:rPr>
              <w:t>la mujer en el ám</w:t>
            </w:r>
            <w:r w:rsidR="00110EF9">
              <w:rPr>
                <w:rFonts w:ascii="Times New Roman" w:hAnsi="Times New Roman" w:cs="Times New Roman"/>
                <w:sz w:val="24"/>
                <w:szCs w:val="24"/>
              </w:rPr>
              <w:t xml:space="preserve">bito de la salud </w:t>
            </w:r>
            <w:r w:rsidR="008E6D98" w:rsidRPr="003C1141">
              <w:rPr>
                <w:rFonts w:ascii="Times New Roman" w:hAnsi="Times New Roman" w:cs="Times New Roman"/>
                <w:sz w:val="24"/>
                <w:szCs w:val="24"/>
              </w:rPr>
              <w:t>sexual</w:t>
            </w:r>
            <w:r w:rsidR="00110EF9">
              <w:rPr>
                <w:rFonts w:ascii="Times New Roman" w:hAnsi="Times New Roman" w:cs="Times New Roman"/>
                <w:sz w:val="24"/>
                <w:szCs w:val="24"/>
              </w:rPr>
              <w:t xml:space="preserve"> y ginecológica</w:t>
            </w:r>
            <w:r w:rsidR="00906C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E6D98" w:rsidRDefault="00E1432D" w:rsidP="008774A0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8E6D98" w:rsidRPr="003C1141">
              <w:rPr>
                <w:rFonts w:ascii="Times New Roman" w:hAnsi="Times New Roman" w:cs="Times New Roman"/>
                <w:sz w:val="24"/>
                <w:szCs w:val="24"/>
              </w:rPr>
              <w:t xml:space="preserve"> acciones de prevención, promoción </w:t>
            </w:r>
            <w:r w:rsidR="008E6D98" w:rsidRPr="003C11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y recuperación </w:t>
            </w:r>
            <w:r w:rsidR="008774A0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8E6D98" w:rsidRPr="003C1141">
              <w:rPr>
                <w:rFonts w:ascii="Times New Roman" w:hAnsi="Times New Roman" w:cs="Times New Roman"/>
                <w:sz w:val="24"/>
                <w:szCs w:val="24"/>
              </w:rPr>
              <w:t>e la salud, con el propósito de elevar la calidad de vida.</w:t>
            </w:r>
            <w:r w:rsidR="003808DB" w:rsidRPr="003C11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10EF9" w:rsidRDefault="00110EF9" w:rsidP="008774A0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 precozmente patologías ginecológicas con el fin de realizar tratamientos y/o derivaciones oportunas</w:t>
            </w:r>
            <w:r w:rsidR="00906C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10EF9" w:rsidRPr="003C1141" w:rsidRDefault="00110EF9" w:rsidP="00110EF9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D98" w:rsidTr="008774A0">
        <w:trPr>
          <w:trHeight w:val="15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98" w:rsidRDefault="008E6D9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 3</w:t>
            </w:r>
            <w:r w:rsidR="000F7A4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Atención Profesional en el Área Neonatológica</w:t>
            </w:r>
          </w:p>
          <w:p w:rsidR="008E6D98" w:rsidRDefault="008E6D9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8E6D98" w:rsidRPr="00D51B39" w:rsidRDefault="008E6D98" w:rsidP="008E6D9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1B39">
              <w:rPr>
                <w:rFonts w:ascii="Times New Roman" w:hAnsi="Times New Roman" w:cs="Times New Roman"/>
                <w:sz w:val="24"/>
                <w:szCs w:val="24"/>
              </w:rPr>
              <w:t>Control de Salud de la Madre e Hijo (Control Diada)</w:t>
            </w:r>
          </w:p>
          <w:p w:rsidR="008E6D98" w:rsidRDefault="008E6D98" w:rsidP="008E6D98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 de Lactancia Materna</w:t>
            </w:r>
          </w:p>
          <w:p w:rsidR="008E6D98" w:rsidRDefault="008E6D98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D98" w:rsidRDefault="008E6D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98" w:rsidRDefault="008E6D9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 w:rsidR="00656A99">
              <w:rPr>
                <w:rFonts w:ascii="Times New Roman" w:hAnsi="Times New Roman" w:cs="Times New Roman"/>
                <w:sz w:val="24"/>
                <w:szCs w:val="24"/>
              </w:rPr>
              <w:t>, 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alumno:</w:t>
            </w:r>
          </w:p>
          <w:p w:rsidR="005107E9" w:rsidRDefault="005107E9" w:rsidP="00DF6D48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 atenciones integrales en el recién nacido con enfoque biopsicosocial</w:t>
            </w:r>
            <w:r w:rsidR="00906C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6D98" w:rsidRDefault="00036B5C" w:rsidP="00DF6D48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Establece </w:t>
            </w:r>
            <w:r w:rsidR="008E6D98" w:rsidRPr="00DF6D48">
              <w:rPr>
                <w:rFonts w:ascii="Times New Roman" w:hAnsi="Times New Roman" w:cs="Times New Roman"/>
                <w:sz w:val="24"/>
                <w:szCs w:val="24"/>
              </w:rPr>
              <w:t>medidas de fomento de la salud y prevención de enfermedades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recién nacido</w:t>
            </w:r>
            <w:r w:rsidR="00906C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36B5C" w:rsidRPr="00DF6D48" w:rsidRDefault="00036B5C" w:rsidP="00DF6D48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Colabora en el fomento de la lactancia materna</w:t>
            </w:r>
            <w:r w:rsidR="00B1340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según las orientaciones técnicas de la OMS</w:t>
            </w:r>
            <w:r w:rsidR="00906C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6D98" w:rsidTr="008774A0">
        <w:trPr>
          <w:trHeight w:val="15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98" w:rsidRDefault="008E6D9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Unidad 4: Atención Profesional en el Área Comunitaria</w:t>
            </w:r>
          </w:p>
          <w:p w:rsidR="008E6D98" w:rsidRDefault="008E6D9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Contenidos</w:t>
            </w:r>
          </w:p>
          <w:p w:rsidR="008E6D98" w:rsidRDefault="008E6D98" w:rsidP="008E6D9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Comunitario</w:t>
            </w:r>
          </w:p>
          <w:p w:rsidR="008E6D98" w:rsidRDefault="008E6D98" w:rsidP="008E6D9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Estudio de Familia</w:t>
            </w:r>
          </w:p>
          <w:p w:rsidR="008E6D98" w:rsidRDefault="008E6D98" w:rsidP="008E6D9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Visitas Domiciliarias</w:t>
            </w:r>
          </w:p>
          <w:p w:rsidR="008E6D98" w:rsidRDefault="008E6D98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D98" w:rsidRDefault="008E6D9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98" w:rsidRDefault="008E6D9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 w:rsidR="00656A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alumno:</w:t>
            </w:r>
          </w:p>
          <w:p w:rsidR="00EA621A" w:rsidRDefault="00EA621A" w:rsidP="00DF6D4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 trabajo comunitario </w:t>
            </w:r>
            <w:r w:rsidR="00EC79F0">
              <w:rPr>
                <w:rFonts w:ascii="Times New Roman" w:hAnsi="Times New Roman" w:cs="Times New Roman"/>
                <w:sz w:val="24"/>
                <w:szCs w:val="24"/>
              </w:rPr>
              <w:t xml:space="preserve">y con el </w:t>
            </w:r>
            <w:proofErr w:type="spellStart"/>
            <w:r w:rsidR="00EC79F0">
              <w:rPr>
                <w:rFonts w:ascii="Times New Roman" w:hAnsi="Times New Roman" w:cs="Times New Roman"/>
                <w:sz w:val="24"/>
                <w:szCs w:val="24"/>
              </w:rPr>
              <w:t>intersector</w:t>
            </w:r>
            <w:proofErr w:type="spellEnd"/>
            <w:r w:rsidR="00EC79F0">
              <w:rPr>
                <w:rFonts w:ascii="Times New Roman" w:hAnsi="Times New Roman" w:cs="Times New Roman"/>
                <w:sz w:val="24"/>
                <w:szCs w:val="24"/>
              </w:rPr>
              <w:t>, con énfasis en el Programa Ministerial de Salud de la Mujer.</w:t>
            </w:r>
          </w:p>
          <w:p w:rsidR="00EA621A" w:rsidRDefault="00EC79F0" w:rsidP="00DF6D4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 junto al equipo de salud en las diversas actividades con la comunidad</w:t>
            </w:r>
            <w:r w:rsidR="00906C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E6D98" w:rsidRPr="00EC79F0" w:rsidRDefault="008E6D98" w:rsidP="00EC79F0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6D98" w:rsidRPr="00C60BE2" w:rsidRDefault="008E6D98" w:rsidP="00977DE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7DE7" w:rsidRPr="00C60BE2" w:rsidRDefault="00977DE7" w:rsidP="00977D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BE2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977DE7" w:rsidRPr="00C60BE2" w:rsidTr="00986053">
        <w:tc>
          <w:tcPr>
            <w:tcW w:w="9214" w:type="dxa"/>
          </w:tcPr>
          <w:p w:rsidR="001077A1" w:rsidRDefault="001077A1" w:rsidP="001077A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Atenciones Clínicas</w:t>
            </w:r>
          </w:p>
          <w:p w:rsidR="00977DE7" w:rsidRDefault="001077A1" w:rsidP="001077A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Comunitario</w:t>
            </w:r>
          </w:p>
          <w:p w:rsidR="001077A1" w:rsidRDefault="001077A1" w:rsidP="001077A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Estudios de Familia</w:t>
            </w:r>
          </w:p>
          <w:p w:rsidR="001077A1" w:rsidRPr="001077A1" w:rsidRDefault="001077A1" w:rsidP="001077A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7A1">
              <w:rPr>
                <w:rFonts w:ascii="Times New Roman" w:hAnsi="Times New Roman" w:cs="Times New Roman"/>
                <w:sz w:val="24"/>
                <w:szCs w:val="24"/>
              </w:rPr>
              <w:t>Visitas Domiciliarias</w:t>
            </w:r>
          </w:p>
        </w:tc>
      </w:tr>
    </w:tbl>
    <w:p w:rsidR="00977DE7" w:rsidRPr="00C60BE2" w:rsidRDefault="00977DE7" w:rsidP="00977DE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78C3" w:rsidRDefault="003E78C3" w:rsidP="00977DE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78C3" w:rsidRDefault="003E78C3" w:rsidP="00977DE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78C3" w:rsidRDefault="003E78C3" w:rsidP="00977DE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78C3" w:rsidRDefault="003E78C3" w:rsidP="00977DE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78C3" w:rsidRDefault="003E78C3" w:rsidP="00977DE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78C3" w:rsidRDefault="003E78C3" w:rsidP="00977DE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7DE7" w:rsidRPr="00C60BE2" w:rsidRDefault="00977DE7" w:rsidP="00977D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BE2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36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63"/>
      </w:tblGrid>
      <w:tr w:rsidR="00977DE7" w:rsidRPr="00734BC3" w:rsidTr="00191CE3">
        <w:trPr>
          <w:trHeight w:val="4359"/>
        </w:trPr>
        <w:tc>
          <w:tcPr>
            <w:tcW w:w="9363" w:type="dxa"/>
          </w:tcPr>
          <w:p w:rsidR="00A951A6" w:rsidRDefault="00A951A6" w:rsidP="00A951A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Práctica Clínica: </w:t>
            </w:r>
          </w:p>
          <w:p w:rsidR="00A951A6" w:rsidRPr="00A36323" w:rsidRDefault="00A951A6" w:rsidP="00A951A6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951A6" w:rsidRDefault="00A951A6" w:rsidP="00A951A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Evaluación Formativa:</w:t>
            </w:r>
          </w:p>
          <w:p w:rsidR="00A951A6" w:rsidRPr="00A36323" w:rsidRDefault="00A951A6" w:rsidP="00A951A6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951A6" w:rsidRDefault="00A951A6" w:rsidP="00A951A6">
            <w:pPr>
              <w:spacing w:after="0" w:line="240" w:lineRule="auto"/>
              <w:ind w:left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realiza permanentemente evaluación formativa en las actividades de atención directa de pacientes por parte del profesional tutor.</w:t>
            </w:r>
          </w:p>
          <w:p w:rsidR="00A951A6" w:rsidRDefault="00A951A6" w:rsidP="00A951A6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951A6" w:rsidRPr="00611E2D" w:rsidRDefault="00A951A6" w:rsidP="00A951A6">
            <w:pPr>
              <w:spacing w:after="0" w:line="240" w:lineRule="auto"/>
              <w:ind w:left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Adicionalmente a lo anterior, una vez cursada la mitad del tiempo de la práctica clínica, el tutor   aplicará  las pautas de evaluación de desempeño, como manera de </w:t>
            </w:r>
            <w:proofErr w:type="spellStart"/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preevaluar</w:t>
            </w:r>
            <w:proofErr w:type="spellEnd"/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 avance del estudiante respecto de los resultados de aprendizaje esperado y  también se solicitará que el estudiante califique su desempeño a manera de evaluación formativa.</w:t>
            </w:r>
          </w:p>
          <w:p w:rsidR="00A951A6" w:rsidRPr="00611E2D" w:rsidRDefault="00A951A6" w:rsidP="00A951A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951A6" w:rsidRDefault="00A951A6" w:rsidP="00A951A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Evaluación Sumativa: </w:t>
            </w:r>
          </w:p>
          <w:p w:rsidR="00A951A6" w:rsidRDefault="00A951A6" w:rsidP="00A951A6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951A6" w:rsidRPr="00A36323" w:rsidRDefault="00A951A6" w:rsidP="00A951A6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 esta práctica se evalúan las cuatro unidades por separado. En cada una de ellas se </w:t>
            </w:r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aplican tres pautas de evaluación del desempeño clínico del estudiante, en las  que se evalúan los aspectos </w:t>
            </w:r>
            <w:proofErr w:type="spellStart"/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actitudinales</w:t>
            </w:r>
            <w:proofErr w:type="spellEnd"/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procedimentales y cognoscitivos. El primer día de inicio de la práctica el tutor deberá dar lectura a las pautas de evaluación de desempeño y dejar registrado este evento en hoja ad-hoc con firma del estudiante.</w:t>
            </w:r>
          </w:p>
          <w:p w:rsidR="00A951A6" w:rsidRPr="00611E2D" w:rsidRDefault="00A951A6" w:rsidP="00A951A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951A6" w:rsidRPr="00611E2D" w:rsidRDefault="00A951A6" w:rsidP="00A951A6">
            <w:pPr>
              <w:spacing w:after="0" w:line="240" w:lineRule="auto"/>
              <w:ind w:left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Las tres pautas deben ser aprobadas por separado, en caso contrario queda reprobada la actividad de práctica clínica con la nota más baja.  </w:t>
            </w:r>
          </w:p>
          <w:p w:rsidR="00A951A6" w:rsidRPr="00611E2D" w:rsidRDefault="00A951A6" w:rsidP="00A951A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951A6" w:rsidRPr="00611E2D" w:rsidRDefault="00A951A6" w:rsidP="00A951A6">
            <w:pPr>
              <w:spacing w:after="0" w:line="240" w:lineRule="auto"/>
              <w:ind w:left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 las tres pautas se aprueban tendrán la siguiente ponderación de la nota final de práctica clínica:</w:t>
            </w:r>
          </w:p>
          <w:p w:rsidR="00A951A6" w:rsidRPr="00611E2D" w:rsidRDefault="00A951A6" w:rsidP="00A951A6">
            <w:pPr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951A6" w:rsidRPr="008B1FBF" w:rsidRDefault="00A951A6" w:rsidP="00A951A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ind w:left="97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F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Área </w:t>
            </w:r>
            <w:proofErr w:type="spellStart"/>
            <w:r w:rsidRPr="008B1F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Actitudinal</w:t>
            </w:r>
            <w:proofErr w:type="spellEnd"/>
            <w:r w:rsidRPr="008B1F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20%</w:t>
            </w:r>
          </w:p>
          <w:p w:rsidR="00A951A6" w:rsidRPr="008B1FBF" w:rsidRDefault="00A951A6" w:rsidP="00A951A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ind w:left="97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F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Área Cognoscitiva: 40%</w:t>
            </w:r>
          </w:p>
          <w:p w:rsidR="00A951A6" w:rsidRPr="008B1FBF" w:rsidRDefault="00A951A6" w:rsidP="00A951A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ind w:left="97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F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Área Procedimental: 40%</w:t>
            </w:r>
          </w:p>
          <w:p w:rsidR="00A951A6" w:rsidRPr="00611E2D" w:rsidRDefault="00A951A6" w:rsidP="00A951A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E0FC8" w:rsidRPr="0039278B" w:rsidRDefault="00AE0FC8" w:rsidP="00BC319C">
            <w:pPr>
              <w:pStyle w:val="Prrafodelista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DE7" w:rsidRPr="00734BC3" w:rsidRDefault="00977DE7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</w:p>
        </w:tc>
      </w:tr>
    </w:tbl>
    <w:p w:rsidR="00977DE7" w:rsidRDefault="00977DE7" w:rsidP="00977DE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34A3" w:rsidRDefault="004C34A3" w:rsidP="00977DE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34A3" w:rsidRDefault="004C34A3" w:rsidP="00977DE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34A3" w:rsidRDefault="004C34A3" w:rsidP="00977DE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34A3" w:rsidRPr="00734BC3" w:rsidRDefault="004C34A3" w:rsidP="00977DE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7DE7" w:rsidRPr="00734BC3" w:rsidRDefault="00977DE7" w:rsidP="00977D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4BC3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1003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036"/>
      </w:tblGrid>
      <w:tr w:rsidR="00977DE7" w:rsidRPr="00734BC3" w:rsidTr="00154281">
        <w:tc>
          <w:tcPr>
            <w:tcW w:w="10036" w:type="dxa"/>
          </w:tcPr>
          <w:p w:rsidR="00154281" w:rsidRDefault="00154281" w:rsidP="0015428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Bibliografía obligatoria:</w:t>
            </w:r>
          </w:p>
          <w:p w:rsidR="00154281" w:rsidRPr="00C315E3" w:rsidRDefault="00154281" w:rsidP="00C315E3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Pérez Sánchez, A. (2011) Obstetricia (4ª Edición).Chile: Mediterráneo</w:t>
            </w:r>
          </w:p>
          <w:p w:rsidR="002C10B3" w:rsidRPr="002C10B3" w:rsidRDefault="00C315E3" w:rsidP="002C10B3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(2010). Manual de Lactancia Materna. Santiago de Chile: Editorial.</w:t>
            </w:r>
          </w:p>
          <w:p w:rsidR="002C10B3" w:rsidRPr="002C10B3" w:rsidRDefault="002C10B3" w:rsidP="002C10B3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10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Pérez Sánchez A. (2003). Ginecología. Madrid: Mediterráneo.</w:t>
            </w:r>
          </w:p>
          <w:p w:rsidR="005E5114" w:rsidRPr="005E5114" w:rsidRDefault="002C10B3" w:rsidP="005E5114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10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  <w:r w:rsidRPr="002C10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(2008). Normas Nacionales sobre Regulación de la Fecundidad. Santiago de Chile: </w:t>
            </w:r>
            <w:proofErr w:type="spellStart"/>
            <w:r w:rsidRPr="002C10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</w:p>
          <w:p w:rsidR="005E5114" w:rsidRPr="005E5114" w:rsidRDefault="005E5114" w:rsidP="005E5114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1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  <w:r w:rsidRPr="005E51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(2008). Normas de Manejo y Tratamiento de Infecciones de Transmisión Sexual (ITS). Santiago de Chile: </w:t>
            </w:r>
            <w:proofErr w:type="spellStart"/>
            <w:r w:rsidRPr="005E51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  <w:r w:rsidRPr="005E51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54281" w:rsidRPr="00C315E3" w:rsidRDefault="00154281" w:rsidP="00C315E3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Caballero M. Erika. (1997). Valoración Física del Recién Nacido. Santiago de Chile: Editorial PUC.</w:t>
            </w:r>
          </w:p>
          <w:p w:rsidR="00154281" w:rsidRPr="00844D23" w:rsidRDefault="00154281" w:rsidP="00C315E3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15E3">
              <w:rPr>
                <w:rFonts w:ascii="Times New Roman" w:eastAsia="Merriweather" w:hAnsi="Times New Roman" w:cs="Times New Roman"/>
                <w:sz w:val="24"/>
                <w:szCs w:val="24"/>
              </w:rPr>
              <w:t>Ta</w:t>
            </w:r>
            <w:r w:rsidR="00C315E3" w:rsidRPr="00C315E3">
              <w:rPr>
                <w:rFonts w:ascii="Times New Roman" w:eastAsia="Merriweather" w:hAnsi="Times New Roman" w:cs="Times New Roman"/>
                <w:sz w:val="24"/>
                <w:szCs w:val="24"/>
              </w:rPr>
              <w:t>pia, J. (2008) Neonatología</w:t>
            </w:r>
            <w:proofErr w:type="gramStart"/>
            <w:r w:rsidR="00C315E3" w:rsidRPr="00C315E3">
              <w:rPr>
                <w:rFonts w:ascii="Times New Roman" w:eastAsia="Merriweather" w:hAnsi="Times New Roman" w:cs="Times New Roman"/>
                <w:sz w:val="24"/>
                <w:szCs w:val="24"/>
              </w:rPr>
              <w:t>.(</w:t>
            </w:r>
            <w:proofErr w:type="gramEnd"/>
            <w:r w:rsidR="00C315E3" w:rsidRPr="00C315E3">
              <w:rPr>
                <w:rFonts w:ascii="Times New Roman" w:eastAsia="Merriweather" w:hAnsi="Times New Roman" w:cs="Times New Roman"/>
                <w:sz w:val="24"/>
                <w:szCs w:val="24"/>
              </w:rPr>
              <w:t>3</w:t>
            </w:r>
            <w:r w:rsidRPr="00C315E3">
              <w:rPr>
                <w:rFonts w:ascii="Times New Roman" w:eastAsia="Merriweather" w:hAnsi="Times New Roman" w:cs="Times New Roman"/>
                <w:sz w:val="24"/>
                <w:szCs w:val="24"/>
              </w:rPr>
              <w:t>ed)</w:t>
            </w:r>
            <w:r w:rsidR="00C315E3" w:rsidRPr="00C315E3">
              <w:rPr>
                <w:rFonts w:ascii="Times New Roman" w:eastAsia="Merriweather" w:hAnsi="Times New Roman" w:cs="Times New Roman"/>
                <w:sz w:val="24"/>
                <w:szCs w:val="24"/>
              </w:rPr>
              <w:t>, Santiago de Chile</w:t>
            </w:r>
            <w:r w:rsidRPr="00C315E3">
              <w:rPr>
                <w:rFonts w:ascii="Times New Roman" w:eastAsia="Merriweather" w:hAnsi="Times New Roman" w:cs="Times New Roman"/>
                <w:sz w:val="24"/>
                <w:szCs w:val="24"/>
              </w:rPr>
              <w:t>. Editorial Mediterráneo.</w:t>
            </w:r>
          </w:p>
          <w:p w:rsidR="00072D1C" w:rsidRPr="00072D1C" w:rsidRDefault="00C45B85" w:rsidP="00072D1C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sz w:val="24"/>
                <w:szCs w:val="24"/>
              </w:rPr>
              <w:t>Hospital Regional de Copiapó, Normas ARO, (2010).</w:t>
            </w:r>
          </w:p>
          <w:p w:rsidR="00072D1C" w:rsidRPr="00072D1C" w:rsidRDefault="00072D1C" w:rsidP="00072D1C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2D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Hernández – Aguado, I y Otros. (2005). Manual de Epidemiología y Salud Pública. Primera Edición. : Médica Panamericana.</w:t>
            </w:r>
          </w:p>
          <w:p w:rsidR="00072D1C" w:rsidRPr="00C315E3" w:rsidRDefault="00072D1C" w:rsidP="00072D1C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Martínez Hernández, J. (2006). Nociones de Salud Pública. Ediciones Díaz de Santos</w:t>
            </w:r>
          </w:p>
          <w:p w:rsidR="00154281" w:rsidRPr="00F36C2C" w:rsidRDefault="00154281" w:rsidP="0015428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54281" w:rsidRDefault="00154281" w:rsidP="0015428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Bibliografía complementaria:</w:t>
            </w:r>
          </w:p>
          <w:p w:rsidR="00154281" w:rsidRPr="00C315E3" w:rsidRDefault="00154281" w:rsidP="00C315E3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Schwarcz</w:t>
            </w:r>
            <w:proofErr w:type="spellEnd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R., </w:t>
            </w:r>
            <w:proofErr w:type="spellStart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Fescina</w:t>
            </w:r>
            <w:proofErr w:type="spellEnd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</w:t>
            </w:r>
            <w:proofErr w:type="gramStart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,Duverges,C</w:t>
            </w:r>
            <w:proofErr w:type="spellEnd"/>
            <w:proofErr w:type="gramEnd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(2005) Obstetricia (6ª Edición).Argentina: El Ateneo.</w:t>
            </w:r>
          </w:p>
          <w:p w:rsidR="00154281" w:rsidRPr="00C315E3" w:rsidRDefault="00154281" w:rsidP="00C315E3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Oyarzún</w:t>
            </w:r>
            <w:proofErr w:type="spellEnd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Enrique. (1997). Alto Riesgo Obstétrico. Santiago de Chile: Editorial UC.</w:t>
            </w:r>
          </w:p>
          <w:p w:rsidR="00C315E3" w:rsidRPr="00C315E3" w:rsidRDefault="00C315E3" w:rsidP="00C315E3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Cloherty</w:t>
            </w:r>
            <w:proofErr w:type="spellEnd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John </w:t>
            </w:r>
            <w:proofErr w:type="gramStart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P..</w:t>
            </w:r>
            <w:proofErr w:type="gramEnd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(2012). Manual de </w:t>
            </w:r>
            <w:proofErr w:type="spellStart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Neonatología</w:t>
            </w:r>
            <w:proofErr w:type="spellEnd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España</w:t>
            </w:r>
            <w:proofErr w:type="spellEnd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Wolters</w:t>
            </w:r>
            <w:proofErr w:type="spellEnd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Kluwer</w:t>
            </w:r>
            <w:proofErr w:type="spellEnd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Health.</w:t>
            </w:r>
          </w:p>
          <w:p w:rsidR="005E5114" w:rsidRPr="005E5114" w:rsidRDefault="00C315E3" w:rsidP="005E5114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Ceriani</w:t>
            </w:r>
            <w:proofErr w:type="spellEnd"/>
            <w:r w:rsidRPr="00C315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Cernadas. (2009). Neonatología Práctica. Buenos Aires: Panamericana Médica.</w:t>
            </w:r>
          </w:p>
          <w:p w:rsidR="00B467E9" w:rsidRPr="00B467E9" w:rsidRDefault="005E5114" w:rsidP="00B467E9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1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  <w:r w:rsidRPr="005E51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(2010). Guía Clínica Síndrome de Inmunodeficiencia Humana Adquirida VIH/SIDA. Santiago de Chile: </w:t>
            </w:r>
            <w:proofErr w:type="spellStart"/>
            <w:r w:rsidRPr="005E51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  <w:r w:rsidRPr="005E51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072D1C" w:rsidRPr="00072D1C" w:rsidRDefault="00B467E9" w:rsidP="00072D1C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Cuello Mauricio. (2005). Pautas de Práctica Clínica en Ginecología. Santiago. Ediciones: Universidad Católica.</w:t>
            </w:r>
          </w:p>
          <w:p w:rsidR="00072D1C" w:rsidRPr="00072D1C" w:rsidRDefault="00072D1C" w:rsidP="00072D1C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D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Frías Osuna, A</w:t>
            </w:r>
            <w:proofErr w:type="gramStart"/>
            <w:r w:rsidRPr="00072D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.(</w:t>
            </w:r>
            <w:proofErr w:type="gramEnd"/>
            <w:r w:rsidRPr="00072D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2000). Salud Pública y Educación para la Salud. Primera Edición: </w:t>
            </w:r>
            <w:proofErr w:type="spellStart"/>
            <w:r w:rsidRPr="00072D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Masson</w:t>
            </w:r>
            <w:proofErr w:type="spellEnd"/>
            <w:r w:rsidRPr="00072D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54281" w:rsidRPr="00072D1C" w:rsidRDefault="00154281" w:rsidP="00072D1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54281" w:rsidRPr="00F80B66" w:rsidRDefault="00154281" w:rsidP="0015428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Informáticos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  <w:p w:rsidR="00154281" w:rsidRPr="00F80B66" w:rsidRDefault="00154281" w:rsidP="00154281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Manual de Atención Personalizada en el Proceso Reproductivo, Ministerio de Salud de Chile, 2008. http://web.minsal.cl/portal/url/item/795c688fd24acd68e04001011e013bfb.pdf</w:t>
            </w:r>
          </w:p>
          <w:p w:rsidR="00C315E3" w:rsidRPr="00C315E3" w:rsidRDefault="00154281" w:rsidP="00C315E3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Guía Perinatal 2015, Ministerio de Salud.</w:t>
            </w:r>
          </w:p>
          <w:p w:rsidR="00154281" w:rsidRDefault="00E97911" w:rsidP="00154281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" w:history="1">
              <w:r w:rsidR="00C315E3" w:rsidRPr="00397BAC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http://web.minsal.cl/sites/default/files/files/GUIA%20PERINATAL_2015_%20PARA%20PUBLICAR.pdf</w:t>
              </w:r>
            </w:hyperlink>
          </w:p>
          <w:p w:rsidR="00C45B85" w:rsidRDefault="00C45B85" w:rsidP="00154281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Guías nacionales de neonatología, Ministerio de Salud de Chile, año 2005.</w:t>
            </w:r>
          </w:p>
          <w:p w:rsidR="00154281" w:rsidRPr="00F80B66" w:rsidRDefault="00154281" w:rsidP="00154281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Protocolo de detección de la depresión durante el embarazo y postparto y apoyo al tratamiento. Ministerio de Salud de Chile, año 2014.</w:t>
            </w:r>
          </w:p>
          <w:p w:rsidR="00154281" w:rsidRPr="00F80B66" w:rsidRDefault="00154281" w:rsidP="00154281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http://web.minsal.cl/sites/default/files/files/manual_lactancia_materna.pdf</w:t>
            </w:r>
          </w:p>
          <w:p w:rsidR="00977DE7" w:rsidRPr="00BC319C" w:rsidRDefault="00154281" w:rsidP="00072D1C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Guías Clínicas GES en: </w:t>
            </w:r>
            <w:hyperlink r:id="rId8" w:history="1">
              <w:r w:rsidRPr="0027683C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www.minsal.cl</w:t>
              </w:r>
            </w:hyperlink>
          </w:p>
        </w:tc>
      </w:tr>
    </w:tbl>
    <w:p w:rsidR="00D20D45" w:rsidRDefault="00BC319C" w:rsidP="00223F3B"/>
    <w:sectPr w:rsidR="00D20D45" w:rsidSect="00FB0FC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09CC" w:rsidRDefault="00BE09CC" w:rsidP="00977DE7">
      <w:pPr>
        <w:spacing w:after="0" w:line="240" w:lineRule="auto"/>
      </w:pPr>
      <w:r>
        <w:separator/>
      </w:r>
    </w:p>
  </w:endnote>
  <w:endnote w:type="continuationSeparator" w:id="0">
    <w:p w:rsidR="00BE09CC" w:rsidRDefault="00BE09CC" w:rsidP="00977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CastleTLig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09CC" w:rsidRDefault="00BE09CC" w:rsidP="00977DE7">
      <w:pPr>
        <w:spacing w:after="0" w:line="240" w:lineRule="auto"/>
      </w:pPr>
      <w:r>
        <w:separator/>
      </w:r>
    </w:p>
  </w:footnote>
  <w:footnote w:type="continuationSeparator" w:id="0">
    <w:p w:rsidR="00BE09CC" w:rsidRDefault="00BE09CC" w:rsidP="00977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977DE7" w:rsidTr="00986053">
      <w:trPr>
        <w:jc w:val="center"/>
      </w:trPr>
      <w:tc>
        <w:tcPr>
          <w:tcW w:w="2023" w:type="dxa"/>
        </w:tcPr>
        <w:p w:rsidR="00977DE7" w:rsidRDefault="00977DE7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59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977DE7" w:rsidRDefault="00977DE7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977DE7" w:rsidRPr="00607538" w:rsidRDefault="00E97911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977DE7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977DE7" w:rsidRPr="00607538" w:rsidRDefault="00977DE7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977DE7" w:rsidRPr="00607538" w:rsidRDefault="00977DE7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977DE7" w:rsidRPr="00607538" w:rsidRDefault="00977DE7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977DE7" w:rsidRDefault="00977DE7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60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77DE7" w:rsidRDefault="00977DE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E1FB9"/>
    <w:multiLevelType w:val="hybridMultilevel"/>
    <w:tmpl w:val="4AF4D0FC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>
    <w:nsid w:val="0C0D0ACB"/>
    <w:multiLevelType w:val="hybridMultilevel"/>
    <w:tmpl w:val="79AC2AF4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>
    <w:nsid w:val="0DD31161"/>
    <w:multiLevelType w:val="hybridMultilevel"/>
    <w:tmpl w:val="D6EA90A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1455424E"/>
    <w:multiLevelType w:val="hybridMultilevel"/>
    <w:tmpl w:val="8110DD3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22BA8"/>
    <w:multiLevelType w:val="hybridMultilevel"/>
    <w:tmpl w:val="0AA017B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>
    <w:nsid w:val="1A2540A1"/>
    <w:multiLevelType w:val="hybridMultilevel"/>
    <w:tmpl w:val="5A4A3AC2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>
    <w:nsid w:val="271913CD"/>
    <w:multiLevelType w:val="hybridMultilevel"/>
    <w:tmpl w:val="B4C8D168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>
    <w:nsid w:val="325A54CE"/>
    <w:multiLevelType w:val="hybridMultilevel"/>
    <w:tmpl w:val="5D60BB0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EF076A"/>
    <w:multiLevelType w:val="hybridMultilevel"/>
    <w:tmpl w:val="3794B26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E6BE5"/>
    <w:multiLevelType w:val="hybridMultilevel"/>
    <w:tmpl w:val="2A38FFF0"/>
    <w:lvl w:ilvl="0" w:tplc="45F65E7C">
      <w:start w:val="1"/>
      <w:numFmt w:val="decimal"/>
      <w:lvlText w:val="%1."/>
      <w:lvlJc w:val="left"/>
      <w:pPr>
        <w:ind w:left="252" w:hanging="360"/>
      </w:pPr>
      <w:rPr>
        <w:rFonts w:ascii="Times New Roman" w:hAnsi="Times New Roman" w:cs="Times New Roman" w:hint="default"/>
        <w:i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0">
    <w:nsid w:val="35443813"/>
    <w:multiLevelType w:val="hybridMultilevel"/>
    <w:tmpl w:val="02003A62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1">
    <w:nsid w:val="36631F58"/>
    <w:multiLevelType w:val="hybridMultilevel"/>
    <w:tmpl w:val="12E8D0D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8314EDC"/>
    <w:multiLevelType w:val="hybridMultilevel"/>
    <w:tmpl w:val="451CD8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854884"/>
    <w:multiLevelType w:val="hybridMultilevel"/>
    <w:tmpl w:val="594889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3C2D67"/>
    <w:multiLevelType w:val="hybridMultilevel"/>
    <w:tmpl w:val="EA64BD38"/>
    <w:lvl w:ilvl="0" w:tplc="F1EA4F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1D10776"/>
    <w:multiLevelType w:val="hybridMultilevel"/>
    <w:tmpl w:val="CC0ED306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6">
    <w:nsid w:val="53DE398E"/>
    <w:multiLevelType w:val="hybridMultilevel"/>
    <w:tmpl w:val="EE5CBEA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7">
    <w:nsid w:val="5809201F"/>
    <w:multiLevelType w:val="hybridMultilevel"/>
    <w:tmpl w:val="02003A62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8">
    <w:nsid w:val="5BFB0822"/>
    <w:multiLevelType w:val="hybridMultilevel"/>
    <w:tmpl w:val="67ACCD6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">
    <w:nsid w:val="6A254C60"/>
    <w:multiLevelType w:val="hybridMultilevel"/>
    <w:tmpl w:val="737CDA22"/>
    <w:lvl w:ilvl="0" w:tplc="F1EA4F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21615FB"/>
    <w:multiLevelType w:val="hybridMultilevel"/>
    <w:tmpl w:val="C666AA7C"/>
    <w:lvl w:ilvl="0" w:tplc="BEDC908A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1">
    <w:nsid w:val="7A0E388F"/>
    <w:multiLevelType w:val="hybridMultilevel"/>
    <w:tmpl w:val="1B6E9A4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CB62E0D"/>
    <w:multiLevelType w:val="hybridMultilevel"/>
    <w:tmpl w:val="39CA53C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8D44A5"/>
    <w:multiLevelType w:val="hybridMultilevel"/>
    <w:tmpl w:val="31C250A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0"/>
  </w:num>
  <w:num w:numId="5">
    <w:abstractNumId w:val="1"/>
  </w:num>
  <w:num w:numId="6">
    <w:abstractNumId w:val="8"/>
  </w:num>
  <w:num w:numId="7">
    <w:abstractNumId w:val="14"/>
  </w:num>
  <w:num w:numId="8">
    <w:abstractNumId w:val="19"/>
  </w:num>
  <w:num w:numId="9">
    <w:abstractNumId w:val="9"/>
  </w:num>
  <w:num w:numId="10">
    <w:abstractNumId w:val="16"/>
  </w:num>
  <w:num w:numId="11">
    <w:abstractNumId w:val="20"/>
  </w:num>
  <w:num w:numId="12">
    <w:abstractNumId w:val="23"/>
  </w:num>
  <w:num w:numId="13">
    <w:abstractNumId w:val="3"/>
  </w:num>
  <w:num w:numId="1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8"/>
  </w:num>
  <w:num w:numId="23">
    <w:abstractNumId w:val="13"/>
  </w:num>
  <w:num w:numId="24">
    <w:abstractNumId w:val="11"/>
  </w:num>
  <w:num w:numId="25">
    <w:abstractNumId w:val="22"/>
  </w:num>
  <w:num w:numId="26">
    <w:abstractNumId w:val="2"/>
  </w:num>
  <w:num w:numId="27">
    <w:abstractNumId w:val="17"/>
  </w:num>
  <w:num w:numId="28">
    <w:abstractNumId w:val="10"/>
  </w:num>
  <w:num w:numId="29">
    <w:abstractNumId w:val="21"/>
  </w:num>
  <w:num w:numId="30">
    <w:abstractNumId w:val="12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977DE7"/>
    <w:rsid w:val="00036B5C"/>
    <w:rsid w:val="00050A1E"/>
    <w:rsid w:val="00072D1C"/>
    <w:rsid w:val="000F7A42"/>
    <w:rsid w:val="001077A1"/>
    <w:rsid w:val="00110EF9"/>
    <w:rsid w:val="00137B11"/>
    <w:rsid w:val="00154281"/>
    <w:rsid w:val="00155E44"/>
    <w:rsid w:val="001568C8"/>
    <w:rsid w:val="00185913"/>
    <w:rsid w:val="00191CE3"/>
    <w:rsid w:val="00192BAB"/>
    <w:rsid w:val="00223F3B"/>
    <w:rsid w:val="0026056B"/>
    <w:rsid w:val="002C10B3"/>
    <w:rsid w:val="002D4E44"/>
    <w:rsid w:val="003808DB"/>
    <w:rsid w:val="003A5712"/>
    <w:rsid w:val="003C1141"/>
    <w:rsid w:val="003E78C3"/>
    <w:rsid w:val="00492FCA"/>
    <w:rsid w:val="004C34A3"/>
    <w:rsid w:val="005107E9"/>
    <w:rsid w:val="005E5114"/>
    <w:rsid w:val="00656A99"/>
    <w:rsid w:val="006650AC"/>
    <w:rsid w:val="00676165"/>
    <w:rsid w:val="00727288"/>
    <w:rsid w:val="00766989"/>
    <w:rsid w:val="00787011"/>
    <w:rsid w:val="007E662E"/>
    <w:rsid w:val="00844D23"/>
    <w:rsid w:val="008774A0"/>
    <w:rsid w:val="008E6D98"/>
    <w:rsid w:val="00906C56"/>
    <w:rsid w:val="00935FF1"/>
    <w:rsid w:val="00977DE7"/>
    <w:rsid w:val="009B65D0"/>
    <w:rsid w:val="009B7BF3"/>
    <w:rsid w:val="00A951A6"/>
    <w:rsid w:val="00AA1E34"/>
    <w:rsid w:val="00AD5973"/>
    <w:rsid w:val="00AE0FC8"/>
    <w:rsid w:val="00B13405"/>
    <w:rsid w:val="00B467E9"/>
    <w:rsid w:val="00B87F81"/>
    <w:rsid w:val="00BC319C"/>
    <w:rsid w:val="00BE09CC"/>
    <w:rsid w:val="00C315E3"/>
    <w:rsid w:val="00C45B85"/>
    <w:rsid w:val="00CC5EBB"/>
    <w:rsid w:val="00D51B39"/>
    <w:rsid w:val="00D8673C"/>
    <w:rsid w:val="00DB781D"/>
    <w:rsid w:val="00DF6D48"/>
    <w:rsid w:val="00E1432D"/>
    <w:rsid w:val="00E75C7C"/>
    <w:rsid w:val="00E97911"/>
    <w:rsid w:val="00EA621A"/>
    <w:rsid w:val="00EC79F0"/>
    <w:rsid w:val="00EE760B"/>
    <w:rsid w:val="00EF673B"/>
    <w:rsid w:val="00FA471C"/>
    <w:rsid w:val="00FA685D"/>
    <w:rsid w:val="00FB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D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DE7"/>
    <w:pPr>
      <w:ind w:left="720"/>
      <w:contextualSpacing/>
    </w:pPr>
  </w:style>
  <w:style w:type="table" w:styleId="Tablaconcuadrcula">
    <w:name w:val="Table Grid"/>
    <w:basedOn w:val="Tablanormal"/>
    <w:uiPriority w:val="59"/>
    <w:rsid w:val="00977D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977D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77DE7"/>
  </w:style>
  <w:style w:type="paragraph" w:styleId="Piedepgina">
    <w:name w:val="footer"/>
    <w:basedOn w:val="Normal"/>
    <w:link w:val="PiedepginaCar"/>
    <w:uiPriority w:val="99"/>
    <w:semiHidden/>
    <w:unhideWhenUsed/>
    <w:rsid w:val="00977D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77DE7"/>
  </w:style>
  <w:style w:type="paragraph" w:styleId="Sinespaciado">
    <w:name w:val="No Spacing"/>
    <w:uiPriority w:val="1"/>
    <w:qFormat/>
    <w:rsid w:val="00977DE7"/>
    <w:pPr>
      <w:spacing w:after="0" w:line="240" w:lineRule="auto"/>
    </w:pPr>
  </w:style>
  <w:style w:type="paragraph" w:customStyle="1" w:styleId="Normal1">
    <w:name w:val="Normal1"/>
    <w:rsid w:val="00977DE7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7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DE7"/>
    <w:rPr>
      <w:rFonts w:ascii="Tahoma" w:hAnsi="Tahoma" w:cs="Tahoma"/>
      <w:sz w:val="16"/>
      <w:szCs w:val="16"/>
    </w:rPr>
  </w:style>
  <w:style w:type="character" w:customStyle="1" w:styleId="A0">
    <w:name w:val="A0"/>
    <w:rsid w:val="009B65D0"/>
    <w:rPr>
      <w:rFonts w:cs="CastleTLig"/>
      <w:color w:val="000000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542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sal.c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minsal.cl/sites/default/files/files/GUIA%20PERINATAL_2015_%20PARA%20PUBLICA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1173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2</cp:revision>
  <dcterms:created xsi:type="dcterms:W3CDTF">2016-06-15T20:25:00Z</dcterms:created>
  <dcterms:modified xsi:type="dcterms:W3CDTF">2016-06-15T20:25:00Z</dcterms:modified>
</cp:coreProperties>
</file>