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r w:rsidR="00CA08A8" w:rsidRPr="00B01003">
        <w:rPr>
          <w:b/>
          <w:color w:val="ABB1B9"/>
          <w:sz w:val="56"/>
          <w:szCs w:val="56"/>
        </w:rPr>
        <w:t>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FastStone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77777777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78630B83" w14:textId="2BAC818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65D01176" w14:textId="515F06EE" w:rsidR="00F75D2C" w:rsidRDefault="006E542B" w:rsidP="005A5112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966A70E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8F2E0B">
        <w:rPr>
          <w:rFonts w:ascii="Times New Roman" w:hAnsi="Times New Roman" w:cs="Times New Roman"/>
          <w:sz w:val="28"/>
          <w:szCs w:val="28"/>
        </w:rPr>
        <w:t>н</w:t>
      </w:r>
      <w:r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8F2E0B">
        <w:rPr>
          <w:rFonts w:ascii="Times New Roman" w:hAnsi="Times New Roman" w:cs="Times New Roman"/>
          <w:sz w:val="28"/>
          <w:szCs w:val="28"/>
        </w:rPr>
        <w:t>г</w:t>
      </w:r>
      <w:r w:rsidRPr="00F141FD">
        <w:rPr>
          <w:rFonts w:ascii="Times New Roman" w:hAnsi="Times New Roman" w:cs="Times New Roman"/>
          <w:sz w:val="28"/>
          <w:szCs w:val="28"/>
        </w:rPr>
        <w:t>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01C22C91" w:rsidR="0005453A" w:rsidRDefault="00287651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 xml:space="preserve">лагодаря близким связям с СССР, русский язык оказал значительное влияние на немецкий язык в ГДР. Введение советской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 xml:space="preserve">В целом, изучение лексикологии и семантики </w:t>
      </w:r>
      <w:r w:rsidR="00564368" w:rsidRPr="00564368">
        <w:rPr>
          <w:rFonts w:ascii="Times New Roman" w:hAnsi="Times New Roman" w:cs="Times New Roman"/>
          <w:sz w:val="28"/>
          <w:szCs w:val="28"/>
        </w:rPr>
        <w:lastRenderedPageBreak/>
        <w:t>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навигировать по информации. HTML был разработан как простой иструктивный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>JavaScript имеет множество различных фреймворков и библиотек, которые упрощают разработку сложных веб-приложений. Например, библиотека jQuery 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SQLite может работать на различных платформах, включая Windows, macOS,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>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7630">
        <w:rPr>
          <w:rFonts w:ascii="Times New Roman" w:hAnsi="Times New Roman" w:cs="Times New Roman"/>
          <w:sz w:val="28"/>
          <w:szCs w:val="28"/>
        </w:rPr>
        <w:t xml:space="preserve">Крокфорд,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833A" w14:textId="77777777" w:rsidR="00112BE7" w:rsidRDefault="00112BE7">
      <w:pPr>
        <w:spacing w:after="0"/>
      </w:pPr>
      <w:r>
        <w:separator/>
      </w:r>
    </w:p>
  </w:endnote>
  <w:endnote w:type="continuationSeparator" w:id="0">
    <w:p w14:paraId="5E502347" w14:textId="77777777" w:rsidR="00112BE7" w:rsidRDefault="00112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BDAF" w14:textId="77777777" w:rsidR="00112BE7" w:rsidRDefault="00112BE7">
      <w:pPr>
        <w:spacing w:after="0"/>
      </w:pPr>
      <w:r>
        <w:separator/>
      </w:r>
    </w:p>
  </w:footnote>
  <w:footnote w:type="continuationSeparator" w:id="0">
    <w:p w14:paraId="360C97A6" w14:textId="77777777" w:rsidR="00112BE7" w:rsidRDefault="00112B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B236D"/>
    <w:rsid w:val="000D2A9A"/>
    <w:rsid w:val="000F11AB"/>
    <w:rsid w:val="00103371"/>
    <w:rsid w:val="00103841"/>
    <w:rsid w:val="00112BE7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1085A"/>
    <w:rsid w:val="00246058"/>
    <w:rsid w:val="00254108"/>
    <w:rsid w:val="0027170F"/>
    <w:rsid w:val="002815C3"/>
    <w:rsid w:val="00287651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2DF4"/>
    <w:rsid w:val="00564368"/>
    <w:rsid w:val="005663F1"/>
    <w:rsid w:val="00573960"/>
    <w:rsid w:val="00587E2E"/>
    <w:rsid w:val="005A5112"/>
    <w:rsid w:val="005C6A0F"/>
    <w:rsid w:val="005D3CC7"/>
    <w:rsid w:val="005D5209"/>
    <w:rsid w:val="0066213F"/>
    <w:rsid w:val="00671724"/>
    <w:rsid w:val="0067409D"/>
    <w:rsid w:val="006A39EF"/>
    <w:rsid w:val="006E3DC3"/>
    <w:rsid w:val="006E542B"/>
    <w:rsid w:val="00701ED8"/>
    <w:rsid w:val="00705241"/>
    <w:rsid w:val="007362ED"/>
    <w:rsid w:val="0073688C"/>
    <w:rsid w:val="00737BAC"/>
    <w:rsid w:val="007403A0"/>
    <w:rsid w:val="00744054"/>
    <w:rsid w:val="007673E3"/>
    <w:rsid w:val="00767630"/>
    <w:rsid w:val="00773F13"/>
    <w:rsid w:val="0079667A"/>
    <w:rsid w:val="007A02F5"/>
    <w:rsid w:val="007C0DB9"/>
    <w:rsid w:val="007C6FDC"/>
    <w:rsid w:val="007E4B71"/>
    <w:rsid w:val="008750F1"/>
    <w:rsid w:val="00876689"/>
    <w:rsid w:val="008861F0"/>
    <w:rsid w:val="0089232E"/>
    <w:rsid w:val="00895297"/>
    <w:rsid w:val="008C3CB8"/>
    <w:rsid w:val="008D3434"/>
    <w:rsid w:val="008E1474"/>
    <w:rsid w:val="008E5713"/>
    <w:rsid w:val="008F00B2"/>
    <w:rsid w:val="008F2E0B"/>
    <w:rsid w:val="0090523E"/>
    <w:rsid w:val="00962CF8"/>
    <w:rsid w:val="00966AC7"/>
    <w:rsid w:val="009672AB"/>
    <w:rsid w:val="0098216B"/>
    <w:rsid w:val="009A7466"/>
    <w:rsid w:val="00A17AB8"/>
    <w:rsid w:val="00A31607"/>
    <w:rsid w:val="00A41954"/>
    <w:rsid w:val="00A56623"/>
    <w:rsid w:val="00A66C4E"/>
    <w:rsid w:val="00A73EC6"/>
    <w:rsid w:val="00A75E94"/>
    <w:rsid w:val="00AE4413"/>
    <w:rsid w:val="00AF59FD"/>
    <w:rsid w:val="00B01003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A08A8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2980"/>
    <w:rsid w:val="00DB52FA"/>
    <w:rsid w:val="00DD3FBA"/>
    <w:rsid w:val="00E04902"/>
    <w:rsid w:val="00E60EDE"/>
    <w:rsid w:val="00E920C2"/>
    <w:rsid w:val="00EA2137"/>
    <w:rsid w:val="00EC686E"/>
    <w:rsid w:val="00F048A4"/>
    <w:rsid w:val="00F04E89"/>
    <w:rsid w:val="00F135BA"/>
    <w:rsid w:val="00F138A2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25</Pages>
  <Words>5387</Words>
  <Characters>30708</Characters>
  <Application>Microsoft Office Word</Application>
  <DocSecurity>0</DocSecurity>
  <Lines>255</Lines>
  <Paragraphs>72</Paragraphs>
  <ScaleCrop>false</ScaleCrop>
  <Company/>
  <LinksUpToDate>false</LinksUpToDate>
  <CharactersWithSpaces>36023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394</cp:revision>
  <dcterms:created xsi:type="dcterms:W3CDTF">2023-11-19T15:55:00Z</dcterms:created>
  <dcterms:modified xsi:type="dcterms:W3CDTF">2024-04-16T20:05:00Z</dcterms:modified>
  <dc:language>ru-RU</dc:language>
</cp:coreProperties>
</file>