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304DC6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304DC6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304DC6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304DC6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304DC6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304DC6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304D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304DC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304DC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453048C" w14:textId="77777777" w:rsidR="0089232E" w:rsidRDefault="00304D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20EDA" w14:textId="77777777" w:rsidR="0089232E" w:rsidRDefault="00304DC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1E60B08B" w14:textId="77777777" w:rsidR="0089232E" w:rsidRDefault="00304DC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304DC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304DC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304D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304DC6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304DC6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304DC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</w:t>
      </w:r>
      <w:r>
        <w:rPr>
          <w:rFonts w:ascii="Times New Roman" w:hAnsi="Times New Roman" w:cs="Times New Roman"/>
          <w:sz w:val="28"/>
          <w:szCs w:val="28"/>
          <w:lang w:val="en-US"/>
        </w:rPr>
        <w:t>FastStone Capture 7.2.</w:t>
      </w:r>
    </w:p>
    <w:p w14:paraId="2B5CCDCD" w14:textId="77777777" w:rsidR="0089232E" w:rsidRDefault="00304DC6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77777777" w:rsidR="0089232E" w:rsidRDefault="00304DC6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23F3FB5" w14:textId="77777777" w:rsidR="0089232E" w:rsidRDefault="00304DC6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58D4D01B" w14:textId="4C2C9800" w:rsidR="00E04902" w:rsidRDefault="00F75D2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195FD45B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7F7BFFE1" w14:textId="613C3E78" w:rsidR="0089232E" w:rsidRDefault="00304DC6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Django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преимуществ Django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Django также обеспечив</w:t>
      </w:r>
      <w:r>
        <w:rPr>
          <w:rFonts w:ascii="Times New Roman" w:hAnsi="Times New Roman" w:cs="Times New Roman"/>
          <w:sz w:val="28"/>
          <w:szCs w:val="28"/>
        </w:rPr>
        <w:t xml:space="preserve">ает четкую структуру и рекомендации по организации </w:t>
      </w:r>
      <w:r>
        <w:rPr>
          <w:rFonts w:ascii="Times New Roman" w:hAnsi="Times New Roman" w:cs="Times New Roman"/>
          <w:sz w:val="28"/>
          <w:szCs w:val="28"/>
        </w:rPr>
        <w:lastRenderedPageBreak/>
        <w:t>кода, что делает проекты на этом фреймворке легко читаемыми и поддерживаемыми.</w:t>
      </w:r>
    </w:p>
    <w:p w14:paraId="4FFFD7E2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 замечательной особенностью Django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Django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документация Django является одной из лучших среди фреймворков веб-разработки. Она обеспечивает подробные объяснения и пр</w:t>
      </w:r>
      <w:r>
        <w:rPr>
          <w:rFonts w:ascii="Times New Roman" w:hAnsi="Times New Roman" w:cs="Times New Roman"/>
          <w:sz w:val="28"/>
          <w:szCs w:val="28"/>
        </w:rPr>
        <w:t>имеры использования каждой функции, что делает процесс изучения и работы с Django очень комфортным.</w:t>
      </w:r>
    </w:p>
    <w:p w14:paraId="1D53F500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Django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поддерживается сообществом разработчиков и имеет множество расширений и пакетов для решения различных задач. Изучение Django может быть полезным </w:t>
      </w:r>
      <w:r>
        <w:rPr>
          <w:rFonts w:ascii="Times New Roman" w:hAnsi="Times New Roman" w:cs="Times New Roman"/>
          <w:sz w:val="28"/>
          <w:szCs w:val="28"/>
        </w:rPr>
        <w:lastRenderedPageBreak/>
        <w:t>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им значимым преимуществом Django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>кже обеспечивает проверку их правильности. Django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преимущество Django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PostgreSQL, MySQL, SQLite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плюсом Django является также его активное сообщество разработчиков. Django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наконец, Django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общем, Django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также обратить внимание на понятность и интуитивность Django.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>лов и каталогов, что позволяет разработчикам быстро ориентироваться в проекте. Кроме того, Django использует паттерн проектирования Model-View-Controller (MVC), что способствует логическому разделению кода и повышает его поддержку и переиспользование.</w:t>
      </w:r>
    </w:p>
    <w:p w14:paraId="254BFE88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>м из ключевых преимуществ Django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Djan</w:t>
      </w:r>
      <w:r>
        <w:rPr>
          <w:rFonts w:ascii="Times New Roman" w:hAnsi="Times New Roman" w:cs="Times New Roman"/>
          <w:sz w:val="28"/>
          <w:szCs w:val="28"/>
        </w:rPr>
        <w:t>go отличным выбором для разработки веб-сервисов и микросервисов.</w:t>
      </w:r>
    </w:p>
    <w:p w14:paraId="6F706658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Django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Celery для асинхронных задач, Elasticsearch для поиска и Redis для кэширования.</w:t>
      </w:r>
    </w:p>
    <w:p w14:paraId="68D80BAA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>преимуществом Django является его обширная и активная сообщество разработчиков. Django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Django является его возможность интеграции с другими технологиями и сторонними сервисами. Django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>орые позволяют вам интегрировать ваше приложение с популярными сервисами, такими как Amazon Web Services, Google Cloud, Twilio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Django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работа с базами данных очень удобна и интуитивно понятна благодаря встроенной ORM (Object-Relational Mapping). ORM в Django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работы с базами данных в Django,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настройки подключения, вы можете создавать модели данных. Модель данных в Django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>ет столбцу в таблице базы данных. Django предоставляет широкий набор полей, таких как CharField, IntegerField, DateTimeField и многие другие, которые позволяют вам определить типы данных для полей модели.</w:t>
      </w:r>
    </w:p>
    <w:p w14:paraId="58DA30BA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>х в Django является то, что ORM автоматически создает необходимые таблицы в базе данных на основе определенных моделей. Вы также можете использовать миграции Django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Django вы можете легко выполнять запросы к базе данных, извлекать, создавать, обновлять и удалять записи. Django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 xml:space="preserve">управлять моделями данных, </w:t>
      </w:r>
      <w:r>
        <w:rPr>
          <w:rFonts w:ascii="Times New Roman" w:hAnsi="Times New Roman" w:cs="Times New Roman"/>
          <w:sz w:val="28"/>
          <w:szCs w:val="28"/>
        </w:rPr>
        <w:lastRenderedPageBreak/>
        <w:t>выполнять запросы к базе данных и управлять изменениями с помощью миграций.</w:t>
      </w:r>
    </w:p>
    <w:p w14:paraId="7F8E3DA7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 в Djan</w:t>
      </w:r>
      <w:r>
        <w:rPr>
          <w:rFonts w:ascii="Times New Roman" w:hAnsi="Times New Roman" w:cs="Times New Roman"/>
          <w:sz w:val="28"/>
          <w:szCs w:val="28"/>
        </w:rPr>
        <w:t>go вы можете использовать различные методы ORM, такие как .objects.all(), чтобы получить все записи из таблицы, или .objects.get(),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использованием ORM в Django можно легко создавать связи между таблицами, такие как один к одному, один ко многим или многие ко многим. Джанго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Django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поддерживает различные типы баз данных, включая SQLite, MySQL, PostgreSQL и другие. Вы можете выбрать наиболее подходящий тип базы данных для вашего проекта, а Django будет автоматически работать с ним.</w:t>
      </w:r>
    </w:p>
    <w:p w14:paraId="42D43F1C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модели и сохранить его в базе данных с помощью метода .save().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.get() или .filter(), изменить нужные поля и снова вызвать метод .save(). Если же вы хотите удалить запись из базы данных, вы можете использовать метод .delete().</w:t>
      </w:r>
    </w:p>
    <w:p w14:paraId="6385E1E6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ORM Django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с базами данных, Django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ORM, Django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304DC6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упомянуть, что в Django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65C36B92" w14:textId="77777777" w:rsidR="0089232E" w:rsidRDefault="00304D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работа с базами данных в Django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</w:p>
    <w:p w14:paraId="1502B228" w14:textId="77777777" w:rsidR="0089232E" w:rsidRDefault="00304D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77777777" w:rsidR="0089232E" w:rsidRDefault="00304DC6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0577801D" w14:textId="77777777" w:rsidR="0089232E" w:rsidRDefault="00304DC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304DC6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304DC6">
      <w:pPr>
        <w:pStyle w:val="ae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304DC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304DC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304DC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304DC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304DC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304DC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77777777" w:rsidR="0089232E" w:rsidRDefault="00304DC6">
      <w:pPr>
        <w:pStyle w:val="ae"/>
        <w:numPr>
          <w:ilvl w:val="0"/>
          <w:numId w:val="2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304DC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304DC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Дауни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>программист / Аллен Б. Дауни ; пер. с англ. С. Черникова ; [науч. ред. А. Родионов]. — Москва : Манн, Иванов и Фербер, 2021.</w:t>
      </w:r>
    </w:p>
    <w:p w14:paraId="5EA29349" w14:textId="77777777" w:rsidR="0089232E" w:rsidRDefault="00304DC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 А. Django 3.0. Практика создания веб-сайтов на Python. — СПб.:БХВ-Петербург, 2021.</w:t>
      </w:r>
    </w:p>
    <w:p w14:paraId="1DF947FD" w14:textId="77777777" w:rsidR="0089232E" w:rsidRDefault="00304DC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304DC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 А. Django 2 в примерах / пер. с анг. Д. В. Плотниковой. – М.: ДМК Пресс, 2019.</w:t>
      </w:r>
    </w:p>
    <w:p w14:paraId="0EA22518" w14:textId="77777777" w:rsidR="0089232E" w:rsidRDefault="00304DC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Мэтиз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77777777" w:rsidR="0089232E" w:rsidRDefault="00304DC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Персиваль Г. Python. Разработка на основе тестирования. / пер. с англ. Логунов А. В. – М.: ДМК Пресс, 2018.</w:t>
      </w:r>
    </w:p>
    <w:sectPr w:rsidR="008923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2959" w14:textId="77777777" w:rsidR="00304DC6" w:rsidRDefault="00304DC6">
      <w:pPr>
        <w:spacing w:after="0"/>
      </w:pPr>
      <w:r>
        <w:separator/>
      </w:r>
    </w:p>
  </w:endnote>
  <w:endnote w:type="continuationSeparator" w:id="0">
    <w:p w14:paraId="1A64749F" w14:textId="77777777" w:rsidR="00304DC6" w:rsidRDefault="00304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304DC6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498D" w14:textId="77777777" w:rsidR="00304DC6" w:rsidRDefault="00304DC6">
      <w:pPr>
        <w:spacing w:after="0"/>
      </w:pPr>
      <w:r>
        <w:separator/>
      </w:r>
    </w:p>
  </w:footnote>
  <w:footnote w:type="continuationSeparator" w:id="0">
    <w:p w14:paraId="6EB1B04C" w14:textId="77777777" w:rsidR="00304DC6" w:rsidRDefault="00304D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304DC6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3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4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304DC6"/>
    <w:rsid w:val="006E542B"/>
    <w:rsid w:val="007E4B71"/>
    <w:rsid w:val="0089232E"/>
    <w:rsid w:val="00E04902"/>
    <w:rsid w:val="00F141FD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18</Pages>
  <Words>3229</Words>
  <Characters>18407</Characters>
  <Application>Microsoft Office Word</Application>
  <DocSecurity>0</DocSecurity>
  <Lines>153</Lines>
  <Paragraphs>43</Paragraphs>
  <ScaleCrop>false</ScaleCrop>
  <Company/>
  <LinksUpToDate>false</LinksUpToDate>
  <CharactersWithSpaces>21593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154</cp:revision>
  <dcterms:created xsi:type="dcterms:W3CDTF">2023-11-19T15:55:00Z</dcterms:created>
  <dcterms:modified xsi:type="dcterms:W3CDTF">2023-11-28T19:25:00Z</dcterms:modified>
  <dc:language>ru-RU</dc:language>
</cp:coreProperties>
</file>