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
      </w:pPr>
      <w:r>
        <w:rPr>
          <w:rFonts w:ascii="Times New Roman" w:cs="Times New Roman" w:eastAsia="Times New Roman" w:hAnsi="Times New Roman"/>
          <w:b/>
          <w:bCs/>
          <w:sz w:val="26"/>
          <w:szCs w:val="26"/>
        </w:rPr>
        <w:t xml:space="preserve">Supplementary Tables</w:t>
      </w:r>
    </w:p>
    <w:p>
      <w:pPr>
        <w:spacing w:after="120" w:before="360"/>
      </w:pPr>
      <w:r>
        <w:rPr>
          <w:rFonts w:ascii="Times New Roman" w:cs="Times New Roman" w:eastAsia="Times New Roman" w:hAnsi="Times New Roman"/>
          <w:b/>
          <w:bCs/>
          <w:sz w:val="21"/>
          <w:szCs w:val="21"/>
        </w:rPr>
        <w:t xml:space="preserve">eTable 1. </w:t>
      </w:r>
      <w:r>
        <w:rPr>
          <w:rFonts w:ascii="Times New Roman" w:cs="Times New Roman" w:eastAsia="Times New Roman" w:hAnsi="Times New Roman"/>
          <w:sz w:val="21"/>
          <w:szCs w:val="21"/>
        </w:rPr>
        <w:t xml:space="preserve">Seizure and epilepsy code list used for the primary outcome, applied identically to both groups.</w:t>
      </w:r>
    </w:p>
    <w:tbl>
      <w:tblPr>
        <w:tblW w:type="dxa" w:w="9360"/>
        <w:tblBorders>
          <w:top w:val="single" w:color="404040" w:sz="6"/>
          <w:left w:val="none"/>
          <w:bottom w:val="single" w:color="404040" w:sz="6"/>
          <w:right w:val="none"/>
          <w:insideH w:val="single" w:color="CCCCCC" w:sz="2"/>
          <w:insideV w:val="none"/>
        </w:tblBorders>
      </w:tblPr>
      <w:tblGrid>
        <w:gridCol w:w="1700"/>
        <w:gridCol w:w="2100"/>
        <w:gridCol w:w="5560"/>
      </w:tblGrid>
      <w:tr>
        <w:trPr>
          <w:tblHeader/>
        </w:trPr>
        <w:tc>
          <w:tcPr>
            <w:tcW w:type="dxa" w:w="170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Role</w:t>
            </w:r>
          </w:p>
        </w:tc>
        <w:tc>
          <w:tcPr>
            <w:tcW w:type="dxa" w:w="210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System</w:t>
            </w:r>
          </w:p>
        </w:tc>
        <w:tc>
          <w:tcPr>
            <w:tcW w:type="dxa" w:w="556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Codes</w:t>
            </w:r>
          </w:p>
        </w:tc>
      </w:tr>
      <w:tr>
        <w:trPr>
          <w:tblHeader w:val="false"/>
        </w:trPr>
        <w:tc>
          <w:tcPr>
            <w:tcW w:type="dxa" w:w="17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Qualifying</w:t>
            </w:r>
          </w:p>
        </w:tc>
        <w:tc>
          <w:tcPr>
            <w:tcW w:type="dxa" w:w="21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ICD-10-CM</w:t>
            </w:r>
          </w:p>
        </w:tc>
        <w:tc>
          <w:tcPr>
            <w:tcW w:type="dxa" w:w="55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G40.x (epilepsy); R56.9 and other R56.x (convulsions)</w:t>
            </w:r>
          </w:p>
        </w:tc>
      </w:tr>
      <w:tr>
        <w:trPr>
          <w:tblHeader w:val="false"/>
        </w:trPr>
        <w:tc>
          <w:tcPr>
            <w:tcW w:type="dxa" w:w="17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Qualifying</w:t>
            </w:r>
          </w:p>
        </w:tc>
        <w:tc>
          <w:tcPr>
            <w:tcW w:type="dxa" w:w="21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ICD-9-CM</w:t>
            </w:r>
          </w:p>
        </w:tc>
        <w:tc>
          <w:tcPr>
            <w:tcW w:type="dxa" w:w="55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345.x (epilepsy); 780.39 (other convulsions)</w:t>
            </w:r>
          </w:p>
        </w:tc>
      </w:tr>
      <w:tr>
        <w:trPr>
          <w:tblHeader w:val="false"/>
        </w:trPr>
        <w:tc>
          <w:tcPr>
            <w:tcW w:type="dxa" w:w="17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Qualifying</w:t>
            </w:r>
          </w:p>
        </w:tc>
        <w:tc>
          <w:tcPr>
            <w:tcW w:type="dxa" w:w="21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Legacy</w:t>
            </w:r>
          </w:p>
        </w:tc>
        <w:tc>
          <w:tcPr>
            <w:tcW w:type="dxa" w:w="55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0345x, 07703x variants</w:t>
            </w:r>
          </w:p>
        </w:tc>
      </w:tr>
      <w:tr>
        <w:trPr>
          <w:tblHeader w:val="false"/>
        </w:trPr>
        <w:tc>
          <w:tcPr>
            <w:tcW w:type="dxa" w:w="17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Excluded</w:t>
            </w:r>
          </w:p>
        </w:tc>
        <w:tc>
          <w:tcPr>
            <w:tcW w:type="dxa" w:w="21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ICD-10-CM / ICD-9-CM</w:t>
            </w:r>
          </w:p>
        </w:tc>
        <w:tc>
          <w:tcPr>
            <w:tcW w:type="dxa" w:w="55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F44.5, 300.11 (psychogenic / conversion)</w:t>
            </w:r>
          </w:p>
        </w:tc>
      </w:tr>
      <w:tr>
        <w:trPr>
          <w:tblHeader w:val="false"/>
        </w:trPr>
        <w:tc>
          <w:tcPr>
            <w:tcW w:type="dxa" w:w="17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Excluded</w:t>
            </w:r>
          </w:p>
        </w:tc>
        <w:tc>
          <w:tcPr>
            <w:tcW w:type="dxa" w:w="21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ICD-10-CM / ICD-9-CM</w:t>
            </w:r>
          </w:p>
        </w:tc>
        <w:tc>
          <w:tcPr>
            <w:tcW w:type="dxa" w:w="55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R56.1, 780.32, 780.33 (febrile, post-traumatic)</w:t>
            </w:r>
          </w:p>
        </w:tc>
      </w:tr>
      <w:tr>
        <w:trPr>
          <w:tblHeader w:val="false"/>
        </w:trPr>
        <w:tc>
          <w:tcPr>
            <w:tcW w:type="dxa" w:w="17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Excluded</w:t>
            </w:r>
          </w:p>
        </w:tc>
        <w:tc>
          <w:tcPr>
            <w:tcW w:type="dxa" w:w="21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ICD-10-CM</w:t>
            </w:r>
          </w:p>
        </w:tc>
        <w:tc>
          <w:tcPr>
            <w:tcW w:type="dxa" w:w="55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Z82.0 (family history)</w:t>
            </w:r>
          </w:p>
        </w:tc>
      </w:tr>
      <w:tr>
        <w:trPr>
          <w:tblHeader w:val="false"/>
        </w:trPr>
        <w:tc>
          <w:tcPr>
            <w:tcW w:type="dxa" w:w="17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Excluded</w:t>
            </w:r>
          </w:p>
        </w:tc>
        <w:tc>
          <w:tcPr>
            <w:tcW w:type="dxa" w:w="21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ICD-10-CM</w:t>
            </w:r>
          </w:p>
        </w:tc>
        <w:tc>
          <w:tcPr>
            <w:tcW w:type="dxa" w:w="55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G43.x (migraine)</w:t>
            </w:r>
          </w:p>
        </w:tc>
      </w:tr>
      <w:tr>
        <w:trPr>
          <w:tblHeader w:val="false"/>
        </w:trPr>
        <w:tc>
          <w:tcPr>
            <w:tcW w:type="dxa" w:w="17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Excluded</w:t>
            </w:r>
          </w:p>
        </w:tc>
        <w:tc>
          <w:tcPr>
            <w:tcW w:type="dxa" w:w="21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ICD-9-CM</w:t>
            </w:r>
          </w:p>
        </w:tc>
        <w:tc>
          <w:tcPr>
            <w:tcW w:type="dxa" w:w="55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E936, 966 (anticonvulsant adverse effect / poisoning)</w:t>
            </w:r>
          </w:p>
        </w:tc>
      </w:tr>
      <w:tr>
        <w:trPr>
          <w:tblHeader w:val="false"/>
        </w:trPr>
        <w:tc>
          <w:tcPr>
            <w:tcW w:type="dxa" w:w="17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Excluded</w:t>
            </w:r>
          </w:p>
        </w:tc>
        <w:tc>
          <w:tcPr>
            <w:tcW w:type="dxa" w:w="21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Descriptor match</w:t>
            </w:r>
          </w:p>
        </w:tc>
        <w:tc>
          <w:tcPr>
            <w:tcW w:type="dxa" w:w="55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febrile, non-epileptic, psychogenic, conversion, family history, migraine, poisoning, adverse</w:t>
            </w:r>
          </w:p>
        </w:tc>
      </w:tr>
    </w:tbl>
    <w:p>
      <w:pPr>
        <w:spacing w:after="260" w:before="90"/>
      </w:pPr>
      <w:r>
        <w:rPr>
          <w:rFonts w:ascii="Times New Roman" w:cs="Times New Roman" w:eastAsia="Times New Roman" w:hAnsi="Times New Roman"/>
          <w:i/>
          <w:iCs/>
          <w:color w:val="595959"/>
          <w:sz w:val="17"/>
          <w:szCs w:val="17"/>
        </w:rPr>
        <w:t xml:space="preserve">R56.9 "Spells Neurological (HCC)" qualified only when accompanied by indefinite antiseizure medication; this affected one patient. Codes were drawn from the dated diagnosis extract and the problem list; for problem-list entries the onset date was used where present, otherwise the recorded date.</w:t>
      </w:r>
    </w:p>
    <w:p>
      <w:pPr>
        <w:spacing w:after="120" w:before="360"/>
      </w:pPr>
      <w:r>
        <w:rPr>
          <w:rFonts w:ascii="Times New Roman" w:cs="Times New Roman" w:eastAsia="Times New Roman" w:hAnsi="Times New Roman"/>
          <w:b/>
          <w:bCs/>
          <w:sz w:val="21"/>
          <w:szCs w:val="21"/>
        </w:rPr>
        <w:t xml:space="preserve">eTable 2. </w:t>
      </w:r>
      <w:r>
        <w:rPr>
          <w:rFonts w:ascii="Times New Roman" w:cs="Times New Roman" w:eastAsia="Times New Roman" w:hAnsi="Times New Roman"/>
          <w:sz w:val="21"/>
          <w:szCs w:val="21"/>
        </w:rPr>
        <w:t xml:space="preserve">Antiseizure medications counted and excluded.</w:t>
      </w:r>
    </w:p>
    <w:tbl>
      <w:tblPr>
        <w:tblW w:type="dxa" w:w="9360"/>
        <w:tblBorders>
          <w:top w:val="single" w:color="404040" w:sz="6"/>
          <w:left w:val="none"/>
          <w:bottom w:val="single" w:color="404040" w:sz="6"/>
          <w:right w:val="none"/>
          <w:insideH w:val="single" w:color="CCCCCC" w:sz="2"/>
          <w:insideV w:val="none"/>
        </w:tblBorders>
      </w:tblPr>
      <w:tblGrid>
        <w:gridCol w:w="2600"/>
        <w:gridCol w:w="6760"/>
      </w:tblGrid>
      <w:tr>
        <w:trPr>
          <w:tblHeader/>
        </w:trPr>
        <w:tc>
          <w:tcPr>
            <w:tcW w:type="dxa" w:w="260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Counted (21 agents)</w:t>
            </w:r>
          </w:p>
        </w:tc>
        <w:tc>
          <w:tcPr>
            <w:tcW w:type="dxa" w:w="676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levetiracetam, lamotrigine, carbamazepine, oxcarbazepine, valproate, divalproex, phenytoin, fosphenytoin, lacosamide, zonisamide, perampanel, brivaracetam, felbamate, rufinamide, vigabatrin, tiagabine, primidone, ethosuximide, phenobarbital, eslicarbazepine, cenobamate</w:t>
            </w:r>
          </w:p>
        </w:tc>
      </w:tr>
      <w:tr>
        <w:trPr>
          <w:tblHeader w:val="false"/>
        </w:trPr>
        <w:tc>
          <w:tcPr>
            <w:tcW w:type="dxa" w:w="26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Not counted: IIH treatments</w:t>
            </w:r>
          </w:p>
        </w:tc>
        <w:tc>
          <w:tcPr>
            <w:tcW w:type="dxa" w:w="67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topiramate, acetazolamide</w:t>
            </w:r>
          </w:p>
        </w:tc>
      </w:tr>
      <w:tr>
        <w:trPr>
          <w:tblHeader w:val="false"/>
        </w:trPr>
        <w:tc>
          <w:tcPr>
            <w:tcW w:type="dxa" w:w="26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Not counted: analgesics</w:t>
            </w:r>
          </w:p>
        </w:tc>
        <w:tc>
          <w:tcPr>
            <w:tcW w:type="dxa" w:w="67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gabapentin, pregabalin</w:t>
            </w:r>
          </w:p>
        </w:tc>
      </w:tr>
      <w:tr>
        <w:trPr>
          <w:tblHeader w:val="false"/>
        </w:trPr>
        <w:tc>
          <w:tcPr>
            <w:tcW w:type="dxa" w:w="26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Not counted: procedural sedation</w:t>
            </w:r>
          </w:p>
        </w:tc>
        <w:tc>
          <w:tcPr>
            <w:tcW w:type="dxa" w:w="67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midazolam, lorazepam, diazepam, clonazepam</w:t>
            </w:r>
          </w:p>
        </w:tc>
      </w:tr>
    </w:tbl>
    <w:p>
      <w:pPr>
        <w:spacing w:after="260" w:before="90"/>
      </w:pPr>
      <w:r>
        <w:rPr>
          <w:rFonts w:ascii="Times New Roman" w:cs="Times New Roman" w:eastAsia="Times New Roman" w:hAnsi="Times New Roman"/>
          <w:i/>
          <w:iCs/>
          <w:color w:val="595959"/>
          <w:sz w:val="17"/>
          <w:szCs w:val="17"/>
        </w:rPr>
        <w:t xml:space="preserve">A patient qualified on the medication criterion when records spanned 180 days or more, or a single prescription was written for 180 days or more. Topiramate and acetazolamide were excluded because both treat IIH; counting either would generate events in the exposed group by construction.</w:t>
      </w:r>
    </w:p>
    <w:p>
      <w:pPr>
        <w:spacing w:after="120" w:before="360"/>
      </w:pPr>
      <w:r>
        <w:rPr>
          <w:rFonts w:ascii="Times New Roman" w:cs="Times New Roman" w:eastAsia="Times New Roman" w:hAnsi="Times New Roman"/>
          <w:b/>
          <w:bCs/>
          <w:sz w:val="21"/>
          <w:szCs w:val="21"/>
        </w:rPr>
        <w:t xml:space="preserve">eTable 3. </w:t>
      </w:r>
      <w:r>
        <w:rPr>
          <w:rFonts w:ascii="Times New Roman" w:cs="Times New Roman" w:eastAsia="Times New Roman" w:hAnsi="Times New Roman"/>
          <w:sz w:val="21"/>
          <w:szCs w:val="21"/>
        </w:rPr>
        <w:t xml:space="preserve">Baseline characteristics with per-group data availability.</w:t>
      </w:r>
    </w:p>
    <w:tbl>
      <w:tblPr>
        <w:tblW w:type="dxa" w:w="9360"/>
        <w:tblBorders>
          <w:top w:val="single" w:color="404040" w:sz="6"/>
          <w:left w:val="none"/>
          <w:bottom w:val="single" w:color="404040" w:sz="6"/>
          <w:right w:val="none"/>
          <w:insideH w:val="single" w:color="CCCCCC" w:sz="2"/>
          <w:insideV w:val="none"/>
        </w:tblBorders>
      </w:tblPr>
      <w:tblGrid>
        <w:gridCol w:w="2660"/>
        <w:gridCol w:w="1620"/>
        <w:gridCol w:w="1700"/>
        <w:gridCol w:w="900"/>
        <w:gridCol w:w="1240"/>
        <w:gridCol w:w="1240"/>
      </w:tblGrid>
      <w:tr>
        <w:trPr>
          <w:tblHeader/>
        </w:trPr>
        <w:tc>
          <w:tcPr>
            <w:tcW w:type="dxa" w:w="266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Characteristic</w:t>
            </w:r>
          </w:p>
        </w:tc>
        <w:tc>
          <w:tcPr>
            <w:tcW w:type="dxa" w:w="162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IIH</w:t>
            </w:r>
          </w:p>
        </w:tc>
        <w:tc>
          <w:tcPr>
            <w:tcW w:type="dxa" w:w="170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Comparator</w:t>
            </w:r>
          </w:p>
        </w:tc>
        <w:tc>
          <w:tcPr>
            <w:tcW w:type="dxa" w:w="90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SMD</w:t>
            </w:r>
          </w:p>
        </w:tc>
        <w:tc>
          <w:tcPr>
            <w:tcW w:type="dxa" w:w="124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Available, IIH</w:t>
            </w:r>
          </w:p>
        </w:tc>
        <w:tc>
          <w:tcPr>
            <w:tcW w:type="dxa" w:w="124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Available, comparator</w:t>
            </w:r>
          </w:p>
        </w:tc>
      </w:tr>
      <w:tr>
        <w:trPr>
          <w:tblHeader w:val="false"/>
        </w:trPr>
        <w:tc>
          <w:tcPr>
            <w:tcW w:type="dxa" w:w="26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n</w:t>
            </w:r>
          </w:p>
        </w:tc>
        <w:tc>
          <w:tcPr>
            <w:tcW w:type="dxa" w:w="162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2,138</w:t>
            </w:r>
          </w:p>
        </w:tc>
        <w:tc>
          <w:tcPr>
            <w:tcW w:type="dxa" w:w="17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5,743</w:t>
            </w:r>
          </w:p>
        </w:tc>
        <w:tc>
          <w:tcPr>
            <w:tcW w:type="dxa" w:w="9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w:t>
            </w:r>
          </w:p>
        </w:tc>
        <w:tc>
          <w:tcPr>
            <w:tcW w:type="dxa" w:w="124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100%</w:t>
            </w:r>
          </w:p>
        </w:tc>
        <w:tc>
          <w:tcPr>
            <w:tcW w:type="dxa" w:w="124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100%</w:t>
            </w:r>
          </w:p>
        </w:tc>
      </w:tr>
      <w:tr>
        <w:trPr>
          <w:tblHeader w:val="false"/>
        </w:trPr>
        <w:tc>
          <w:tcPr>
            <w:tcW w:type="dxa" w:w="26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Person-years</w:t>
            </w:r>
          </w:p>
        </w:tc>
        <w:tc>
          <w:tcPr>
            <w:tcW w:type="dxa" w:w="162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4563.0</w:t>
            </w:r>
          </w:p>
        </w:tc>
        <w:tc>
          <w:tcPr>
            <w:tcW w:type="dxa" w:w="17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9375.2</w:t>
            </w:r>
          </w:p>
        </w:tc>
        <w:tc>
          <w:tcPr>
            <w:tcW w:type="dxa" w:w="9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w:t>
            </w:r>
          </w:p>
        </w:tc>
        <w:tc>
          <w:tcPr>
            <w:tcW w:type="dxa" w:w="124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100%</w:t>
            </w:r>
          </w:p>
        </w:tc>
        <w:tc>
          <w:tcPr>
            <w:tcW w:type="dxa" w:w="124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100%</w:t>
            </w:r>
          </w:p>
        </w:tc>
      </w:tr>
      <w:tr>
        <w:trPr>
          <w:tblHeader w:val="false"/>
        </w:trPr>
        <w:tc>
          <w:tcPr>
            <w:tcW w:type="dxa" w:w="26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Follow-up, years, median (IQR)</w:t>
            </w:r>
          </w:p>
        </w:tc>
        <w:tc>
          <w:tcPr>
            <w:tcW w:type="dxa" w:w="162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2.77 (1.23-3.00)</w:t>
            </w:r>
          </w:p>
        </w:tc>
        <w:tc>
          <w:tcPr>
            <w:tcW w:type="dxa" w:w="17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1.51 (0.52-3.00)</w:t>
            </w:r>
          </w:p>
        </w:tc>
        <w:tc>
          <w:tcPr>
            <w:tcW w:type="dxa" w:w="9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w:t>
            </w:r>
          </w:p>
        </w:tc>
        <w:tc>
          <w:tcPr>
            <w:tcW w:type="dxa" w:w="124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100%</w:t>
            </w:r>
          </w:p>
        </w:tc>
        <w:tc>
          <w:tcPr>
            <w:tcW w:type="dxa" w:w="124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100%</w:t>
            </w:r>
          </w:p>
        </w:tc>
      </w:tr>
      <w:tr>
        <w:trPr>
          <w:tblHeader w:val="false"/>
        </w:trPr>
        <w:tc>
          <w:tcPr>
            <w:tcW w:type="dxa" w:w="26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Age at index, years, mean (SD)</w:t>
            </w:r>
          </w:p>
        </w:tc>
        <w:tc>
          <w:tcPr>
            <w:tcW w:type="dxa" w:w="162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34.9 (10.2)</w:t>
            </w:r>
          </w:p>
        </w:tc>
        <w:tc>
          <w:tcPr>
            <w:tcW w:type="dxa" w:w="17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35.5 (9.5)</w:t>
            </w:r>
          </w:p>
        </w:tc>
        <w:tc>
          <w:tcPr>
            <w:tcW w:type="dxa" w:w="9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-0.065</w:t>
            </w:r>
          </w:p>
        </w:tc>
        <w:tc>
          <w:tcPr>
            <w:tcW w:type="dxa" w:w="124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100%</w:t>
            </w:r>
          </w:p>
        </w:tc>
        <w:tc>
          <w:tcPr>
            <w:tcW w:type="dxa" w:w="124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100%</w:t>
            </w:r>
          </w:p>
        </w:tc>
      </w:tr>
      <w:tr>
        <w:trPr>
          <w:tblHeader w:val="false"/>
        </w:trPr>
        <w:tc>
          <w:tcPr>
            <w:tcW w:type="dxa" w:w="26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Female</w:t>
            </w:r>
          </w:p>
        </w:tc>
        <w:tc>
          <w:tcPr>
            <w:tcW w:type="dxa" w:w="162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1875 (87.7%)</w:t>
            </w:r>
          </w:p>
        </w:tc>
        <w:tc>
          <w:tcPr>
            <w:tcW w:type="dxa" w:w="17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4972 (86.6%)</w:t>
            </w:r>
          </w:p>
        </w:tc>
        <w:tc>
          <w:tcPr>
            <w:tcW w:type="dxa" w:w="9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0.034</w:t>
            </w:r>
          </w:p>
        </w:tc>
        <w:tc>
          <w:tcPr>
            <w:tcW w:type="dxa" w:w="124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100%</w:t>
            </w:r>
          </w:p>
        </w:tc>
        <w:tc>
          <w:tcPr>
            <w:tcW w:type="dxa" w:w="124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100%</w:t>
            </w:r>
          </w:p>
        </w:tc>
      </w:tr>
      <w:tr>
        <w:trPr>
          <w:tblHeader w:val="false"/>
        </w:trPr>
        <w:tc>
          <w:tcPr>
            <w:tcW w:type="dxa" w:w="26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BMI, kg/m2, mean (SD)</w:t>
            </w:r>
          </w:p>
        </w:tc>
        <w:tc>
          <w:tcPr>
            <w:tcW w:type="dxa" w:w="162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36.5 (7.3)</w:t>
            </w:r>
          </w:p>
        </w:tc>
        <w:tc>
          <w:tcPr>
            <w:tcW w:type="dxa" w:w="17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36.2 (6.5)</w:t>
            </w:r>
          </w:p>
        </w:tc>
        <w:tc>
          <w:tcPr>
            <w:tcW w:type="dxa" w:w="9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0.050</w:t>
            </w:r>
          </w:p>
        </w:tc>
        <w:tc>
          <w:tcPr>
            <w:tcW w:type="dxa" w:w="124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100%</w:t>
            </w:r>
          </w:p>
        </w:tc>
        <w:tc>
          <w:tcPr>
            <w:tcW w:type="dxa" w:w="124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100%</w:t>
            </w:r>
          </w:p>
        </w:tc>
      </w:tr>
      <w:tr>
        <w:trPr>
          <w:tblHeader w:val="false"/>
        </w:trPr>
        <w:tc>
          <w:tcPr>
            <w:tcW w:type="dxa" w:w="26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Obese (BMI &gt;= 30)</w:t>
            </w:r>
          </w:p>
        </w:tc>
        <w:tc>
          <w:tcPr>
            <w:tcW w:type="dxa" w:w="162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1712 (80.1%)</w:t>
            </w:r>
          </w:p>
        </w:tc>
        <w:tc>
          <w:tcPr>
            <w:tcW w:type="dxa" w:w="17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4478 (78.0%)</w:t>
            </w:r>
          </w:p>
        </w:tc>
        <w:tc>
          <w:tcPr>
            <w:tcW w:type="dxa" w:w="9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0.052</w:t>
            </w:r>
          </w:p>
        </w:tc>
        <w:tc>
          <w:tcPr>
            <w:tcW w:type="dxa" w:w="124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100%</w:t>
            </w:r>
          </w:p>
        </w:tc>
        <w:tc>
          <w:tcPr>
            <w:tcW w:type="dxa" w:w="124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100%</w:t>
            </w:r>
          </w:p>
        </w:tc>
      </w:tr>
      <w:tr>
        <w:trPr>
          <w:tblHeader w:val="false"/>
        </w:trPr>
        <w:tc>
          <w:tcPr>
            <w:tcW w:type="dxa" w:w="26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Hypertension</w:t>
            </w:r>
          </w:p>
        </w:tc>
        <w:tc>
          <w:tcPr>
            <w:tcW w:type="dxa" w:w="162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473 (22.1%)</w:t>
            </w:r>
          </w:p>
        </w:tc>
        <w:tc>
          <w:tcPr>
            <w:tcW w:type="dxa" w:w="17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940 (16.4%)</w:t>
            </w:r>
          </w:p>
        </w:tc>
        <w:tc>
          <w:tcPr>
            <w:tcW w:type="dxa" w:w="9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0.146</w:t>
            </w:r>
          </w:p>
        </w:tc>
        <w:tc>
          <w:tcPr>
            <w:tcW w:type="dxa" w:w="124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100%</w:t>
            </w:r>
          </w:p>
        </w:tc>
        <w:tc>
          <w:tcPr>
            <w:tcW w:type="dxa" w:w="124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100%</w:t>
            </w:r>
          </w:p>
        </w:tc>
      </w:tr>
      <w:tr>
        <w:trPr>
          <w:tblHeader w:val="false"/>
        </w:trPr>
        <w:tc>
          <w:tcPr>
            <w:tcW w:type="dxa" w:w="26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Obstructive sleep apnoea</w:t>
            </w:r>
          </w:p>
        </w:tc>
        <w:tc>
          <w:tcPr>
            <w:tcW w:type="dxa" w:w="162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630 (29.5%)</w:t>
            </w:r>
          </w:p>
        </w:tc>
        <w:tc>
          <w:tcPr>
            <w:tcW w:type="dxa" w:w="17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884 (15.4%)</w:t>
            </w:r>
          </w:p>
        </w:tc>
        <w:tc>
          <w:tcPr>
            <w:tcW w:type="dxa" w:w="9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0.342</w:t>
            </w:r>
          </w:p>
        </w:tc>
        <w:tc>
          <w:tcPr>
            <w:tcW w:type="dxa" w:w="124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100%</w:t>
            </w:r>
          </w:p>
        </w:tc>
        <w:tc>
          <w:tcPr>
            <w:tcW w:type="dxa" w:w="124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100%</w:t>
            </w:r>
          </w:p>
        </w:tc>
      </w:tr>
      <w:tr>
        <w:trPr>
          <w:tblHeader w:val="false"/>
        </w:trPr>
        <w:tc>
          <w:tcPr>
            <w:tcW w:type="dxa" w:w="26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Polycystic ovary syndrome</w:t>
            </w:r>
          </w:p>
        </w:tc>
        <w:tc>
          <w:tcPr>
            <w:tcW w:type="dxa" w:w="162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264 (12.3%)</w:t>
            </w:r>
          </w:p>
        </w:tc>
        <w:tc>
          <w:tcPr>
            <w:tcW w:type="dxa" w:w="17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418 (7.3%)</w:t>
            </w:r>
          </w:p>
        </w:tc>
        <w:tc>
          <w:tcPr>
            <w:tcW w:type="dxa" w:w="9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0.171</w:t>
            </w:r>
          </w:p>
        </w:tc>
        <w:tc>
          <w:tcPr>
            <w:tcW w:type="dxa" w:w="124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100%</w:t>
            </w:r>
          </w:p>
        </w:tc>
        <w:tc>
          <w:tcPr>
            <w:tcW w:type="dxa" w:w="124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100%</w:t>
            </w:r>
          </w:p>
        </w:tc>
      </w:tr>
      <w:tr>
        <w:trPr>
          <w:tblHeader w:val="false"/>
        </w:trPr>
        <w:tc>
          <w:tcPr>
            <w:tcW w:type="dxa" w:w="26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Bariatric surgery</w:t>
            </w:r>
          </w:p>
        </w:tc>
        <w:tc>
          <w:tcPr>
            <w:tcW w:type="dxa" w:w="162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74 (3.5%)</w:t>
            </w:r>
          </w:p>
        </w:tc>
        <w:tc>
          <w:tcPr>
            <w:tcW w:type="dxa" w:w="17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124 (2.2%)</w:t>
            </w:r>
          </w:p>
        </w:tc>
        <w:tc>
          <w:tcPr>
            <w:tcW w:type="dxa" w:w="9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0.079</w:t>
            </w:r>
          </w:p>
        </w:tc>
        <w:tc>
          <w:tcPr>
            <w:tcW w:type="dxa" w:w="124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100%</w:t>
            </w:r>
          </w:p>
        </w:tc>
        <w:tc>
          <w:tcPr>
            <w:tcW w:type="dxa" w:w="124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100%</w:t>
            </w:r>
          </w:p>
        </w:tc>
      </w:tr>
      <w:tr>
        <w:trPr>
          <w:tblHeader w:val="false"/>
        </w:trPr>
        <w:tc>
          <w:tcPr>
            <w:tcW w:type="dxa" w:w="26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Clinical visits, 12 months before index, mean (SD)</w:t>
            </w:r>
          </w:p>
        </w:tc>
        <w:tc>
          <w:tcPr>
            <w:tcW w:type="dxa" w:w="162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20.6 (26.5)</w:t>
            </w:r>
          </w:p>
        </w:tc>
        <w:tc>
          <w:tcPr>
            <w:tcW w:type="dxa" w:w="17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9.2 (15.2)</w:t>
            </w:r>
          </w:p>
        </w:tc>
        <w:tc>
          <w:tcPr>
            <w:tcW w:type="dxa" w:w="9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0.526</w:t>
            </w:r>
          </w:p>
        </w:tc>
        <w:tc>
          <w:tcPr>
            <w:tcW w:type="dxa" w:w="124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100%</w:t>
            </w:r>
          </w:p>
        </w:tc>
        <w:tc>
          <w:tcPr>
            <w:tcW w:type="dxa" w:w="124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100%</w:t>
            </w:r>
          </w:p>
        </w:tc>
      </w:tr>
      <w:tr>
        <w:trPr>
          <w:tblHeader w:val="false"/>
        </w:trPr>
        <w:tc>
          <w:tcPr>
            <w:tcW w:type="dxa" w:w="26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Clinical visits, 12 months before index, median (IQR)</w:t>
            </w:r>
          </w:p>
        </w:tc>
        <w:tc>
          <w:tcPr>
            <w:tcW w:type="dxa" w:w="162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12.00 (5.00-26.00)</w:t>
            </w:r>
          </w:p>
        </w:tc>
        <w:tc>
          <w:tcPr>
            <w:tcW w:type="dxa" w:w="17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4.00 (1.00-10.00)</w:t>
            </w:r>
          </w:p>
        </w:tc>
        <w:tc>
          <w:tcPr>
            <w:tcW w:type="dxa" w:w="9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w:t>
            </w:r>
          </w:p>
        </w:tc>
        <w:tc>
          <w:tcPr>
            <w:tcW w:type="dxa" w:w="124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100%</w:t>
            </w:r>
          </w:p>
        </w:tc>
        <w:tc>
          <w:tcPr>
            <w:tcW w:type="dxa" w:w="124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100%</w:t>
            </w:r>
          </w:p>
        </w:tc>
      </w:tr>
      <w:tr>
        <w:trPr>
          <w:tblHeader w:val="false"/>
        </w:trPr>
        <w:tc>
          <w:tcPr>
            <w:tcW w:type="dxa" w:w="26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Current smoker (NOT COMPARABLE - see note)</w:t>
            </w:r>
          </w:p>
        </w:tc>
        <w:tc>
          <w:tcPr>
            <w:tcW w:type="dxa" w:w="162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16 (0.7%)</w:t>
            </w:r>
          </w:p>
        </w:tc>
        <w:tc>
          <w:tcPr>
            <w:tcW w:type="dxa" w:w="17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433 (7.5%)</w:t>
            </w:r>
          </w:p>
        </w:tc>
        <w:tc>
          <w:tcPr>
            <w:tcW w:type="dxa" w:w="9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-0.346</w:t>
            </w:r>
          </w:p>
        </w:tc>
        <w:tc>
          <w:tcPr>
            <w:tcW w:type="dxa" w:w="124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100%</w:t>
            </w:r>
          </w:p>
        </w:tc>
        <w:tc>
          <w:tcPr>
            <w:tcW w:type="dxa" w:w="124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100%</w:t>
            </w:r>
          </w:p>
        </w:tc>
      </w:tr>
      <w:tr>
        <w:trPr>
          <w:tblHeader w:val="false"/>
        </w:trPr>
        <w:tc>
          <w:tcPr>
            <w:tcW w:type="dxa" w:w="26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Opening pressure, cmH2O, mean (SD) (IIH only)</w:t>
            </w:r>
          </w:p>
        </w:tc>
        <w:tc>
          <w:tcPr>
            <w:tcW w:type="dxa" w:w="162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29.5 (9.7)</w:t>
            </w:r>
          </w:p>
        </w:tc>
        <w:tc>
          <w:tcPr>
            <w:tcW w:type="dxa" w:w="17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NaN (NA)</w:t>
            </w:r>
          </w:p>
        </w:tc>
        <w:tc>
          <w:tcPr>
            <w:tcW w:type="dxa" w:w="9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w:t>
            </w:r>
          </w:p>
        </w:tc>
        <w:tc>
          <w:tcPr>
            <w:tcW w:type="dxa" w:w="124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74%</w:t>
            </w:r>
          </w:p>
        </w:tc>
        <w:tc>
          <w:tcPr>
            <w:tcW w:type="dxa" w:w="124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0%</w:t>
            </w:r>
          </w:p>
        </w:tc>
      </w:tr>
      <w:tr>
        <w:trPr>
          <w:tblHeader w:val="false"/>
        </w:trPr>
        <w:tc>
          <w:tcPr>
            <w:tcW w:type="dxa" w:w="26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Died during follow-up</w:t>
            </w:r>
          </w:p>
        </w:tc>
        <w:tc>
          <w:tcPr>
            <w:tcW w:type="dxa" w:w="162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38 (1.8%)</w:t>
            </w:r>
          </w:p>
        </w:tc>
        <w:tc>
          <w:tcPr>
            <w:tcW w:type="dxa" w:w="17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89 (1.5%)</w:t>
            </w:r>
          </w:p>
        </w:tc>
        <w:tc>
          <w:tcPr>
            <w:tcW w:type="dxa" w:w="9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0.018</w:t>
            </w:r>
          </w:p>
        </w:tc>
        <w:tc>
          <w:tcPr>
            <w:tcW w:type="dxa" w:w="124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100%</w:t>
            </w:r>
          </w:p>
        </w:tc>
        <w:tc>
          <w:tcPr>
            <w:tcW w:type="dxa" w:w="124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100%</w:t>
            </w:r>
          </w:p>
        </w:tc>
      </w:tr>
    </w:tbl>
    <w:p>
      <w:pPr>
        <w:spacing w:after="260" w:before="90"/>
      </w:pPr>
      <w:r>
        <w:rPr>
          <w:rFonts w:ascii="Times New Roman" w:cs="Times New Roman" w:eastAsia="Times New Roman" w:hAnsi="Times New Roman"/>
          <w:i/>
          <w:iCs/>
          <w:color w:val="595959"/>
          <w:sz w:val="17"/>
          <w:szCs w:val="17"/>
        </w:rPr>
        <w:t xml:space="preserve">A variable recorded in only one group cannot be compared between groups. Source: Z_T02.</w:t>
      </w:r>
    </w:p>
    <w:p>
      <w:pPr>
        <w:spacing w:after="120" w:before="360"/>
      </w:pPr>
      <w:r>
        <w:rPr>
          <w:rFonts w:ascii="Times New Roman" w:cs="Times New Roman" w:eastAsia="Times New Roman" w:hAnsi="Times New Roman"/>
          <w:b/>
          <w:bCs/>
          <w:sz w:val="21"/>
          <w:szCs w:val="21"/>
        </w:rPr>
        <w:t xml:space="preserve">eTable 4. </w:t>
      </w:r>
      <w:r>
        <w:rPr>
          <w:rFonts w:ascii="Times New Roman" w:cs="Times New Roman" w:eastAsia="Times New Roman" w:hAnsi="Times New Roman"/>
          <w:sz w:val="21"/>
          <w:szCs w:val="21"/>
        </w:rPr>
        <w:t xml:space="preserve">Post-index healthcare surveillance by encounter setting.</w:t>
      </w:r>
    </w:p>
    <w:tbl>
      <w:tblPr>
        <w:tblW w:type="dxa" w:w="9360"/>
        <w:tblBorders>
          <w:top w:val="single" w:color="404040" w:sz="6"/>
          <w:left w:val="none"/>
          <w:bottom w:val="single" w:color="404040" w:sz="6"/>
          <w:right w:val="none"/>
          <w:insideH w:val="single" w:color="CCCCCC" w:sz="2"/>
          <w:insideV w:val="none"/>
        </w:tblBorders>
      </w:tblPr>
      <w:tblGrid>
        <w:gridCol w:w="1900"/>
        <w:gridCol w:w="1750"/>
        <w:gridCol w:w="1900"/>
        <w:gridCol w:w="1800"/>
        <w:gridCol w:w="2010"/>
      </w:tblGrid>
      <w:tr>
        <w:trPr>
          <w:tblHeader/>
        </w:trPr>
        <w:tc>
          <w:tcPr>
            <w:tcW w:type="dxa" w:w="190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Setting</w:t>
            </w:r>
          </w:p>
        </w:tc>
        <w:tc>
          <w:tcPr>
            <w:tcW w:type="dxa" w:w="175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IIH, per person-year</w:t>
            </w:r>
          </w:p>
        </w:tc>
        <w:tc>
          <w:tcPr>
            <w:tcW w:type="dxa" w:w="190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Comparator, per person-year</w:t>
            </w:r>
          </w:p>
        </w:tc>
        <w:tc>
          <w:tcPr>
            <w:tcW w:type="dxa" w:w="180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Rate ratio (95% CI)</w:t>
            </w:r>
          </w:p>
        </w:tc>
        <w:tc>
          <w:tcPr>
            <w:tcW w:type="dxa" w:w="201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Note</w:t>
            </w:r>
          </w:p>
        </w:tc>
      </w:tr>
      <w:tr>
        <w:trPr>
          <w:tblHeader w:val="false"/>
        </w:trPr>
        <w:tc>
          <w:tcPr>
            <w:tcW w:type="dxa" w:w="19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All clinical visits</w:t>
            </w:r>
          </w:p>
        </w:tc>
        <w:tc>
          <w:tcPr>
            <w:tcW w:type="dxa" w:w="17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22.56 (22.42 to 22.69)</w:t>
            </w:r>
          </w:p>
        </w:tc>
        <w:tc>
          <w:tcPr>
            <w:tcW w:type="dxa" w:w="19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8.34 (8.28 to 8.40)</w:t>
            </w:r>
          </w:p>
        </w:tc>
        <w:tc>
          <w:tcPr>
            <w:tcW w:type="dxa" w:w="18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2.70 (2.68 to 2.73)</w:t>
            </w:r>
          </w:p>
        </w:tc>
        <w:tc>
          <w:tcPr>
            <w:tcW w:type="dxa" w:w="201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w:t>
            </w:r>
          </w:p>
        </w:tc>
      </w:tr>
      <w:tr>
        <w:trPr>
          <w:tblHeader w:val="false"/>
        </w:trPr>
        <w:tc>
          <w:tcPr>
            <w:tcW w:type="dxa" w:w="19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Emergency encounters</w:t>
            </w:r>
          </w:p>
        </w:tc>
        <w:tc>
          <w:tcPr>
            <w:tcW w:type="dxa" w:w="17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0.15 (0.14 to 0.16)</w:t>
            </w:r>
          </w:p>
        </w:tc>
        <w:tc>
          <w:tcPr>
            <w:tcW w:type="dxa" w:w="19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0.03 (0.02 to 0.03)</w:t>
            </w:r>
          </w:p>
        </w:tc>
        <w:tc>
          <w:tcPr>
            <w:tcW w:type="dxa" w:w="18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5.74 (4.96 to 6.65)</w:t>
            </w:r>
          </w:p>
        </w:tc>
        <w:tc>
          <w:tcPr>
            <w:tcW w:type="dxa" w:w="201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w:t>
            </w:r>
          </w:p>
        </w:tc>
      </w:tr>
      <w:tr>
        <w:trPr>
          <w:tblHeader w:val="false"/>
        </w:trPr>
        <w:tc>
          <w:tcPr>
            <w:tcW w:type="dxa" w:w="19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Hospital or inpatient encounters</w:t>
            </w:r>
          </w:p>
        </w:tc>
        <w:tc>
          <w:tcPr>
            <w:tcW w:type="dxa" w:w="17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3.06 (3.01 to 3.11)</w:t>
            </w:r>
          </w:p>
        </w:tc>
        <w:tc>
          <w:tcPr>
            <w:tcW w:type="dxa" w:w="19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1.35 (1.32 to 1.37)</w:t>
            </w:r>
          </w:p>
        </w:tc>
        <w:tc>
          <w:tcPr>
            <w:tcW w:type="dxa" w:w="18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2.27 (2.22 to 2.33)</w:t>
            </w:r>
          </w:p>
        </w:tc>
        <w:tc>
          <w:tcPr>
            <w:tcW w:type="dxa" w:w="201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w:t>
            </w:r>
          </w:p>
        </w:tc>
      </w:tr>
      <w:tr>
        <w:trPr>
          <w:tblHeader w:val="false"/>
        </w:trPr>
        <w:tc>
          <w:tcPr>
            <w:tcW w:type="dxa" w:w="19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Office or clinic visits</w:t>
            </w:r>
          </w:p>
        </w:tc>
        <w:tc>
          <w:tcPr>
            <w:tcW w:type="dxa" w:w="17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10.06 (9.97 to 10.16)</w:t>
            </w:r>
          </w:p>
        </w:tc>
        <w:tc>
          <w:tcPr>
            <w:tcW w:type="dxa" w:w="19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3.44 (3.40 to 3.48)</w:t>
            </w:r>
          </w:p>
        </w:tc>
        <w:tc>
          <w:tcPr>
            <w:tcW w:type="dxa" w:w="18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2.92 (2.88 to 2.97)</w:t>
            </w:r>
          </w:p>
        </w:tc>
        <w:tc>
          <w:tcPr>
            <w:tcW w:type="dxa" w:w="201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w:t>
            </w:r>
          </w:p>
        </w:tc>
      </w:tr>
      <w:tr>
        <w:trPr>
          <w:tblHeader w:val="false"/>
        </w:trPr>
        <w:tc>
          <w:tcPr>
            <w:tcW w:type="dxa" w:w="19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Procedural or diagnostic encounters</w:t>
            </w:r>
          </w:p>
        </w:tc>
        <w:tc>
          <w:tcPr>
            <w:tcW w:type="dxa" w:w="17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4.25 (4.19 to 4.31)</w:t>
            </w:r>
          </w:p>
        </w:tc>
        <w:tc>
          <w:tcPr>
            <w:tcW w:type="dxa" w:w="19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1.83 (1.80 to 1.86)</w:t>
            </w:r>
          </w:p>
        </w:tc>
        <w:tc>
          <w:tcPr>
            <w:tcW w:type="dxa" w:w="18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2.32 (2.28 to 2.37)</w:t>
            </w:r>
          </w:p>
        </w:tc>
        <w:tc>
          <w:tcPr>
            <w:tcW w:type="dxa" w:w="201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w:t>
            </w:r>
          </w:p>
        </w:tc>
      </w:tr>
      <w:tr>
        <w:trPr>
          <w:tblHeader w:val="false"/>
        </w:trPr>
        <w:tc>
          <w:tcPr>
            <w:tcW w:type="dxa" w:w="19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Laboratory encounters</w:t>
            </w:r>
          </w:p>
        </w:tc>
        <w:tc>
          <w:tcPr>
            <w:tcW w:type="dxa" w:w="17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0.10 (0.09 to 0.11)</w:t>
            </w:r>
          </w:p>
        </w:tc>
        <w:tc>
          <w:tcPr>
            <w:tcW w:type="dxa" w:w="19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0.09 (0.08 to 0.10)</w:t>
            </w:r>
          </w:p>
        </w:tc>
        <w:tc>
          <w:tcPr>
            <w:tcW w:type="dxa" w:w="18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1.14 (1.02 to 1.28)</w:t>
            </w:r>
          </w:p>
        </w:tc>
        <w:tc>
          <w:tcPr>
            <w:tcW w:type="dxa" w:w="201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w:t>
            </w:r>
          </w:p>
        </w:tc>
      </w:tr>
      <w:tr>
        <w:trPr>
          <w:tblHeader w:val="false"/>
        </w:trPr>
        <w:tc>
          <w:tcPr>
            <w:tcW w:type="dxa" w:w="19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Neurology visits</w:t>
            </w:r>
          </w:p>
        </w:tc>
        <w:tc>
          <w:tcPr>
            <w:tcW w:type="dxa" w:w="17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not available</w:t>
            </w:r>
          </w:p>
        </w:tc>
        <w:tc>
          <w:tcPr>
            <w:tcW w:type="dxa" w:w="19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not available</w:t>
            </w:r>
          </w:p>
        </w:tc>
        <w:tc>
          <w:tcPr>
            <w:tcW w:type="dxa" w:w="18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not estimable</w:t>
            </w:r>
          </w:p>
        </w:tc>
        <w:tc>
          <w:tcPr>
            <w:tcW w:type="dxa" w:w="201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no encounter type names a specialty; none of the 171 types is Neurology</w:t>
            </w:r>
          </w:p>
        </w:tc>
      </w:tr>
      <w:tr>
        <w:trPr>
          <w:tblHeader w:val="false"/>
        </w:trPr>
        <w:tc>
          <w:tcPr>
            <w:tcW w:type="dxa" w:w="19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Ophthalmology visits</w:t>
            </w:r>
          </w:p>
        </w:tc>
        <w:tc>
          <w:tcPr>
            <w:tcW w:type="dxa" w:w="17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not available</w:t>
            </w:r>
          </w:p>
        </w:tc>
        <w:tc>
          <w:tcPr>
            <w:tcW w:type="dxa" w:w="19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not available</w:t>
            </w:r>
          </w:p>
        </w:tc>
        <w:tc>
          <w:tcPr>
            <w:tcW w:type="dxa" w:w="18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not estimable</w:t>
            </w:r>
          </w:p>
        </w:tc>
        <w:tc>
          <w:tcPr>
            <w:tcW w:type="dxa" w:w="201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same; the Historic Ophthalmology types are imported records, not visits</w:t>
            </w:r>
          </w:p>
        </w:tc>
      </w:tr>
      <w:tr>
        <w:trPr>
          <w:tblHeader w:val="false"/>
        </w:trPr>
        <w:tc>
          <w:tcPr>
            <w:tcW w:type="dxa" w:w="19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Brain MRI or CT</w:t>
            </w:r>
          </w:p>
        </w:tc>
        <w:tc>
          <w:tcPr>
            <w:tcW w:type="dxa" w:w="17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not available</w:t>
            </w:r>
          </w:p>
        </w:tc>
        <w:tc>
          <w:tcPr>
            <w:tcW w:type="dxa" w:w="19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not available</w:t>
            </w:r>
          </w:p>
        </w:tc>
        <w:tc>
          <w:tcPr>
            <w:tcW w:type="dxa" w:w="18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not estimable</w:t>
            </w:r>
          </w:p>
        </w:tc>
        <w:tc>
          <w:tcPr>
            <w:tcW w:type="dxa" w:w="201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radiology extract covers comparators only (1,234 patients, 0 IIH); the Radiology encounter type has 386 case against 12 comparator rows and cannot be a record of scans</w:t>
            </w:r>
          </w:p>
        </w:tc>
      </w:tr>
      <w:tr>
        <w:trPr>
          <w:tblHeader w:val="false"/>
        </w:trPr>
        <w:tc>
          <w:tcPr>
            <w:tcW w:type="dxa" w:w="19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EEG</w:t>
            </w:r>
          </w:p>
        </w:tc>
        <w:tc>
          <w:tcPr>
            <w:tcW w:type="dxa" w:w="17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not available</w:t>
            </w:r>
          </w:p>
        </w:tc>
        <w:tc>
          <w:tcPr>
            <w:tcW w:type="dxa" w:w="19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not available</w:t>
            </w:r>
          </w:p>
        </w:tc>
        <w:tc>
          <w:tcPr>
            <w:tcW w:type="dxa" w:w="18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not estimable</w:t>
            </w:r>
          </w:p>
        </w:tc>
        <w:tc>
          <w:tcPr>
            <w:tcW w:type="dxa" w:w="201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recorded for 393 IIH patients and 0 comparators</w:t>
            </w:r>
          </w:p>
        </w:tc>
      </w:tr>
    </w:tbl>
    <w:p>
      <w:pPr>
        <w:spacing w:after="260" w:before="90"/>
      </w:pPr>
      <w:r>
        <w:rPr>
          <w:rFonts w:ascii="Times New Roman" w:cs="Times New Roman" w:eastAsia="Times New Roman" w:hAnsi="Times New Roman"/>
          <w:i/>
          <w:iCs/>
          <w:color w:val="595959"/>
          <w:sz w:val="17"/>
          <w:szCs w:val="17"/>
        </w:rPr>
        <w:t xml:space="preserve">Surveillance was higher in the IIH group in every clinician-initiated setting but not in laboratory encounters, the one setting not initiated by a clinician. Source: K_T54.</w:t>
      </w:r>
    </w:p>
    <w:p>
      <w:pPr>
        <w:spacing w:after="120" w:before="360"/>
      </w:pPr>
      <w:r>
        <w:rPr>
          <w:rFonts w:ascii="Times New Roman" w:cs="Times New Roman" w:eastAsia="Times New Roman" w:hAnsi="Times New Roman"/>
          <w:b/>
          <w:bCs/>
          <w:sz w:val="21"/>
          <w:szCs w:val="21"/>
        </w:rPr>
        <w:t xml:space="preserve">eTable 5. </w:t>
      </w:r>
      <w:r>
        <w:rPr>
          <w:rFonts w:ascii="Times New Roman" w:cs="Times New Roman" w:eastAsia="Times New Roman" w:hAnsi="Times New Roman"/>
          <w:sz w:val="21"/>
          <w:szCs w:val="21"/>
        </w:rPr>
        <w:t xml:space="preserve">Response of every outcome to adjustment for six measures of pre-index healthcare contact.</w:t>
      </w:r>
    </w:p>
    <w:tbl>
      <w:tblPr>
        <w:tblW w:type="dxa" w:w="9360"/>
        <w:tblBorders>
          <w:top w:val="single" w:color="404040" w:sz="6"/>
          <w:left w:val="none"/>
          <w:bottom w:val="single" w:color="404040" w:sz="6"/>
          <w:right w:val="none"/>
          <w:insideH w:val="single" w:color="CCCCCC" w:sz="2"/>
          <w:insideV w:val="none"/>
        </w:tblBorders>
      </w:tblPr>
      <w:tblGrid>
        <w:gridCol w:w="1500"/>
        <w:gridCol w:w="1400"/>
        <w:gridCol w:w="1350"/>
        <w:gridCol w:w="1450"/>
        <w:gridCol w:w="1150"/>
        <w:gridCol w:w="1250"/>
        <w:gridCol w:w="1260"/>
      </w:tblGrid>
      <w:tr>
        <w:trPr>
          <w:tblHeader/>
        </w:trPr>
        <w:tc>
          <w:tcPr>
            <w:tcW w:type="dxa" w:w="150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Contact measure</w:t>
            </w:r>
          </w:p>
        </w:tc>
        <w:tc>
          <w:tcPr>
            <w:tcW w:type="dxa" w:w="140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Controls, median change</w:t>
            </w:r>
          </w:p>
        </w:tc>
        <w:tc>
          <w:tcPr>
            <w:tcW w:type="dxa" w:w="135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Controls, range</w:t>
            </w:r>
          </w:p>
        </w:tc>
        <w:tc>
          <w:tcPr>
            <w:tcW w:type="dxa" w:w="145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Controls moving away from null</w:t>
            </w:r>
          </w:p>
        </w:tc>
        <w:tc>
          <w:tcPr>
            <w:tcW w:type="dxa" w:w="115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Seizure HR</w:t>
            </w:r>
          </w:p>
        </w:tc>
        <w:tc>
          <w:tcPr>
            <w:tcW w:type="dxa" w:w="125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Seizure change</w:t>
            </w:r>
          </w:p>
        </w:tc>
        <w:tc>
          <w:tcPr>
            <w:tcW w:type="dxa" w:w="126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Direction</w:t>
            </w:r>
          </w:p>
        </w:tc>
      </w:tr>
      <w:tr>
        <w:trPr>
          <w:tblHeader w:val="false"/>
        </w:trPr>
        <w:tc>
          <w:tcPr>
            <w:tcW w:type="dxa" w:w="15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(unadjusted)</w:t>
            </w:r>
          </w:p>
        </w:tc>
        <w:tc>
          <w:tcPr>
            <w:tcW w:type="dxa" w:w="14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w:t>
            </w:r>
          </w:p>
        </w:tc>
        <w:tc>
          <w:tcPr>
            <w:tcW w:type="dxa" w:w="13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w:t>
            </w:r>
          </w:p>
        </w:tc>
        <w:tc>
          <w:tcPr>
            <w:tcW w:type="dxa" w:w="14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NA</w:t>
            </w:r>
          </w:p>
        </w:tc>
        <w:tc>
          <w:tcPr>
            <w:tcW w:type="dxa" w:w="11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2.28</w:t>
            </w:r>
          </w:p>
        </w:tc>
        <w:tc>
          <w:tcPr>
            <w:tcW w:type="dxa" w:w="12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w:t>
            </w:r>
          </w:p>
        </w:tc>
        <w:tc>
          <w:tcPr>
            <w:tcW w:type="dxa" w:w="12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w:t>
            </w:r>
          </w:p>
        </w:tc>
      </w:tr>
      <w:tr>
        <w:trPr>
          <w:tblHeader w:val="false"/>
        </w:trPr>
        <w:tc>
          <w:tcPr>
            <w:tcW w:type="dxa" w:w="15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visits_12m</w:t>
            </w:r>
          </w:p>
        </w:tc>
        <w:tc>
          <w:tcPr>
            <w:tcW w:type="dxa" w:w="14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-27.9%</w:t>
            </w:r>
          </w:p>
        </w:tc>
        <w:tc>
          <w:tcPr>
            <w:tcW w:type="dxa" w:w="13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-42% to -16%</w:t>
            </w:r>
          </w:p>
        </w:tc>
        <w:tc>
          <w:tcPr>
            <w:tcW w:type="dxa" w:w="14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0</w:t>
            </w:r>
          </w:p>
        </w:tc>
        <w:tc>
          <w:tcPr>
            <w:tcW w:type="dxa" w:w="11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2.46</w:t>
            </w:r>
          </w:p>
        </w:tc>
        <w:tc>
          <w:tcPr>
            <w:tcW w:type="dxa" w:w="12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+7.8%</w:t>
            </w:r>
          </w:p>
        </w:tc>
        <w:tc>
          <w:tcPr>
            <w:tcW w:type="dxa" w:w="12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AWAY from null</w:t>
            </w:r>
          </w:p>
        </w:tc>
      </w:tr>
      <w:tr>
        <w:trPr>
          <w:tblHeader w:val="false"/>
        </w:trPr>
        <w:tc>
          <w:tcPr>
            <w:tcW w:type="dxa" w:w="15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visits_24m</w:t>
            </w:r>
          </w:p>
        </w:tc>
        <w:tc>
          <w:tcPr>
            <w:tcW w:type="dxa" w:w="14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-28.1%</w:t>
            </w:r>
          </w:p>
        </w:tc>
        <w:tc>
          <w:tcPr>
            <w:tcW w:type="dxa" w:w="13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-39% to -19%</w:t>
            </w:r>
          </w:p>
        </w:tc>
        <w:tc>
          <w:tcPr>
            <w:tcW w:type="dxa" w:w="14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0</w:t>
            </w:r>
          </w:p>
        </w:tc>
        <w:tc>
          <w:tcPr>
            <w:tcW w:type="dxa" w:w="11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2.64</w:t>
            </w:r>
          </w:p>
        </w:tc>
        <w:tc>
          <w:tcPr>
            <w:tcW w:type="dxa" w:w="12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+15.6%</w:t>
            </w:r>
          </w:p>
        </w:tc>
        <w:tc>
          <w:tcPr>
            <w:tcW w:type="dxa" w:w="12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AWAY from null</w:t>
            </w:r>
          </w:p>
        </w:tc>
      </w:tr>
      <w:tr>
        <w:trPr>
          <w:tblHeader w:val="false"/>
        </w:trPr>
        <w:tc>
          <w:tcPr>
            <w:tcW w:type="dxa" w:w="15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months_12m</w:t>
            </w:r>
          </w:p>
        </w:tc>
        <w:tc>
          <w:tcPr>
            <w:tcW w:type="dxa" w:w="14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-24.1%</w:t>
            </w:r>
          </w:p>
        </w:tc>
        <w:tc>
          <w:tcPr>
            <w:tcW w:type="dxa" w:w="13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-41% to -10%</w:t>
            </w:r>
          </w:p>
        </w:tc>
        <w:tc>
          <w:tcPr>
            <w:tcW w:type="dxa" w:w="14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0</w:t>
            </w:r>
          </w:p>
        </w:tc>
        <w:tc>
          <w:tcPr>
            <w:tcW w:type="dxa" w:w="11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2.62</w:t>
            </w:r>
          </w:p>
        </w:tc>
        <w:tc>
          <w:tcPr>
            <w:tcW w:type="dxa" w:w="12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+14.8%</w:t>
            </w:r>
          </w:p>
        </w:tc>
        <w:tc>
          <w:tcPr>
            <w:tcW w:type="dxa" w:w="12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AWAY from null</w:t>
            </w:r>
          </w:p>
        </w:tc>
      </w:tr>
      <w:tr>
        <w:trPr>
          <w:tblHeader w:val="false"/>
        </w:trPr>
        <w:tc>
          <w:tcPr>
            <w:tcW w:type="dxa" w:w="15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visits_all</w:t>
            </w:r>
          </w:p>
        </w:tc>
        <w:tc>
          <w:tcPr>
            <w:tcW w:type="dxa" w:w="14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-31.8%</w:t>
            </w:r>
          </w:p>
        </w:tc>
        <w:tc>
          <w:tcPr>
            <w:tcW w:type="dxa" w:w="13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-46% to -22%</w:t>
            </w:r>
          </w:p>
        </w:tc>
        <w:tc>
          <w:tcPr>
            <w:tcW w:type="dxa" w:w="14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0</w:t>
            </w:r>
          </w:p>
        </w:tc>
        <w:tc>
          <w:tcPr>
            <w:tcW w:type="dxa" w:w="11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2.93</w:t>
            </w:r>
          </w:p>
        </w:tc>
        <w:tc>
          <w:tcPr>
            <w:tcW w:type="dxa" w:w="12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+28.6%</w:t>
            </w:r>
          </w:p>
        </w:tc>
        <w:tc>
          <w:tcPr>
            <w:tcW w:type="dxa" w:w="12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AWAY from null</w:t>
            </w:r>
          </w:p>
        </w:tc>
      </w:tr>
      <w:tr>
        <w:trPr>
          <w:tblHeader w:val="false"/>
        </w:trPr>
        <w:tc>
          <w:tcPr>
            <w:tcW w:type="dxa" w:w="15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history_years</w:t>
            </w:r>
          </w:p>
        </w:tc>
        <w:tc>
          <w:tcPr>
            <w:tcW w:type="dxa" w:w="14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-11.3%</w:t>
            </w:r>
          </w:p>
        </w:tc>
        <w:tc>
          <w:tcPr>
            <w:tcW w:type="dxa" w:w="13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-21% to -3%</w:t>
            </w:r>
          </w:p>
        </w:tc>
        <w:tc>
          <w:tcPr>
            <w:tcW w:type="dxa" w:w="14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0</w:t>
            </w:r>
          </w:p>
        </w:tc>
        <w:tc>
          <w:tcPr>
            <w:tcW w:type="dxa" w:w="11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2.69</w:t>
            </w:r>
          </w:p>
        </w:tc>
        <w:tc>
          <w:tcPr>
            <w:tcW w:type="dxa" w:w="12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+18.1%</w:t>
            </w:r>
          </w:p>
        </w:tc>
        <w:tc>
          <w:tcPr>
            <w:tcW w:type="dxa" w:w="12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AWAY from null</w:t>
            </w:r>
          </w:p>
        </w:tc>
      </w:tr>
      <w:tr>
        <w:trPr>
          <w:tblHeader w:val="false"/>
        </w:trPr>
        <w:tc>
          <w:tcPr>
            <w:tcW w:type="dxa" w:w="15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office_12m</w:t>
            </w:r>
          </w:p>
        </w:tc>
        <w:tc>
          <w:tcPr>
            <w:tcW w:type="dxa" w:w="14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-32.8%</w:t>
            </w:r>
          </w:p>
        </w:tc>
        <w:tc>
          <w:tcPr>
            <w:tcW w:type="dxa" w:w="13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-43% to -20%</w:t>
            </w:r>
          </w:p>
        </w:tc>
        <w:tc>
          <w:tcPr>
            <w:tcW w:type="dxa" w:w="14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0</w:t>
            </w:r>
          </w:p>
        </w:tc>
        <w:tc>
          <w:tcPr>
            <w:tcW w:type="dxa" w:w="11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2.57</w:t>
            </w:r>
          </w:p>
        </w:tc>
        <w:tc>
          <w:tcPr>
            <w:tcW w:type="dxa" w:w="12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+12.6%</w:t>
            </w:r>
          </w:p>
        </w:tc>
        <w:tc>
          <w:tcPr>
            <w:tcW w:type="dxa" w:w="12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AWAY from null</w:t>
            </w:r>
          </w:p>
        </w:tc>
      </w:tr>
    </w:tbl>
    <w:p>
      <w:pPr>
        <w:spacing w:after="260" w:before="90"/>
      </w:pPr>
      <w:r>
        <w:rPr>
          <w:rFonts w:ascii="Times New Roman" w:cs="Times New Roman" w:eastAsia="Times New Roman" w:hAnsi="Times New Roman"/>
          <w:i/>
          <w:iCs/>
          <w:color w:val="595959"/>
          <w:sz w:val="17"/>
          <w:szCs w:val="17"/>
        </w:rPr>
        <w:t xml:space="preserve">All 66 control-by-measure combinations moved toward the null; the seizure estimate moved away from the null under all six measures. Source: K_T50.</w:t>
      </w:r>
    </w:p>
    <w:p>
      <w:pPr>
        <w:spacing w:after="120" w:before="360"/>
      </w:pPr>
      <w:r>
        <w:rPr>
          <w:rFonts w:ascii="Times New Roman" w:cs="Times New Roman" w:eastAsia="Times New Roman" w:hAnsi="Times New Roman"/>
          <w:b/>
          <w:bCs/>
          <w:sz w:val="21"/>
          <w:szCs w:val="21"/>
        </w:rPr>
        <w:t xml:space="preserve">eTable 6. </w:t>
      </w:r>
      <w:r>
        <w:rPr>
          <w:rFonts w:ascii="Times New Roman" w:cs="Times New Roman" w:eastAsia="Times New Roman" w:hAnsi="Times New Roman"/>
          <w:sz w:val="21"/>
          <w:szCs w:val="21"/>
        </w:rPr>
        <w:t xml:space="preserve">Adjustment for post-index healthcare contact: demonstration of collider bias.</w:t>
      </w:r>
    </w:p>
    <w:tbl>
      <w:tblPr>
        <w:tblW w:type="dxa" w:w="9360"/>
        <w:tblBorders>
          <w:top w:val="single" w:color="404040" w:sz="6"/>
          <w:left w:val="none"/>
          <w:bottom w:val="single" w:color="404040" w:sz="6"/>
          <w:right w:val="none"/>
          <w:insideH w:val="single" w:color="CCCCCC" w:sz="2"/>
          <w:insideV w:val="none"/>
        </w:tblBorders>
      </w:tblPr>
      <w:tblGrid>
        <w:gridCol w:w="2700"/>
        <w:gridCol w:w="2000"/>
        <w:gridCol w:w="2330"/>
        <w:gridCol w:w="2330"/>
      </w:tblGrid>
      <w:tr>
        <w:trPr>
          <w:tblHeader/>
        </w:trPr>
        <w:tc>
          <w:tcPr>
            <w:tcW w:type="dxa" w:w="270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Outcome</w:t>
            </w:r>
          </w:p>
        </w:tc>
        <w:tc>
          <w:tcPr>
            <w:tcW w:type="dxa" w:w="200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Unadjusted</w:t>
            </w:r>
          </w:p>
        </w:tc>
        <w:tc>
          <w:tcPr>
            <w:tcW w:type="dxa" w:w="233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Adjusted for pre-index contact</w:t>
            </w:r>
          </w:p>
        </w:tc>
        <w:tc>
          <w:tcPr>
            <w:tcW w:type="dxa" w:w="233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Adjusted for post-index contact</w:t>
            </w:r>
          </w:p>
        </w:tc>
      </w:tr>
      <w:tr>
        <w:trPr>
          <w:tblHeader w:val="false"/>
        </w:trPr>
        <w:tc>
          <w:tcPr>
            <w:tcW w:type="dxa" w:w="27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SEIZURE OR EPILEPSY</w:t>
            </w:r>
          </w:p>
        </w:tc>
        <w:tc>
          <w:tcPr>
            <w:tcW w:type="dxa" w:w="20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2.28 (1.62 to 3.22)</w:t>
            </w:r>
          </w:p>
        </w:tc>
        <w:tc>
          <w:tcPr>
            <w:tcW w:type="dxa" w:w="233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2.57 (1.75 to 3.78)</w:t>
            </w:r>
          </w:p>
        </w:tc>
        <w:tc>
          <w:tcPr>
            <w:tcW w:type="dxa" w:w="233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1.25 (0.85 to 1.85)</w:t>
            </w:r>
          </w:p>
        </w:tc>
      </w:tr>
      <w:tr>
        <w:trPr>
          <w:tblHeader w:val="false"/>
        </w:trPr>
        <w:tc>
          <w:tcPr>
            <w:tcW w:type="dxa" w:w="27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Fracture (negative control)</w:t>
            </w:r>
          </w:p>
        </w:tc>
        <w:tc>
          <w:tcPr>
            <w:tcW w:type="dxa" w:w="20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1.22 (0.76 to 1.98)</w:t>
            </w:r>
          </w:p>
        </w:tc>
        <w:tc>
          <w:tcPr>
            <w:tcW w:type="dxa" w:w="233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0.87 (0.52 to 1.45)</w:t>
            </w:r>
          </w:p>
        </w:tc>
        <w:tc>
          <w:tcPr>
            <w:tcW w:type="dxa" w:w="233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0.39 (0.23 to 0.67)</w:t>
            </w:r>
          </w:p>
        </w:tc>
      </w:tr>
      <w:tr>
        <w:trPr>
          <w:tblHeader w:val="false"/>
        </w:trPr>
        <w:tc>
          <w:tcPr>
            <w:tcW w:type="dxa" w:w="27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Upper respiratory infection (negative control)</w:t>
            </w:r>
          </w:p>
        </w:tc>
        <w:tc>
          <w:tcPr>
            <w:tcW w:type="dxa" w:w="20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2.02 (1.65 to 2.48)</w:t>
            </w:r>
          </w:p>
        </w:tc>
        <w:tc>
          <w:tcPr>
            <w:tcW w:type="dxa" w:w="233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1.49 (1.21 to 1.84)</w:t>
            </w:r>
          </w:p>
        </w:tc>
        <w:tc>
          <w:tcPr>
            <w:tcW w:type="dxa" w:w="233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0.75 (0.61 to 0.92)</w:t>
            </w:r>
          </w:p>
        </w:tc>
      </w:tr>
    </w:tbl>
    <w:p>
      <w:pPr>
        <w:spacing w:after="260" w:before="90"/>
      </w:pPr>
      <w:r>
        <w:rPr>
          <w:rFonts w:ascii="Times New Roman" w:cs="Times New Roman" w:eastAsia="Times New Roman" w:hAnsi="Times New Roman"/>
          <w:i/>
          <w:iCs/>
          <w:color w:val="595959"/>
          <w:sz w:val="17"/>
          <w:szCs w:val="17"/>
        </w:rPr>
        <w:t xml:space="preserve">Adjustment for post-index contact produced implausibly protective associations for two negative-control outcomes, indicating collider bias rather than bias removal. Post-index contact was therefore not adjusted for in the primary analysis. Source: K_T52.</w:t>
      </w:r>
    </w:p>
    <w:p>
      <w:pPr>
        <w:spacing w:after="120" w:before="360"/>
      </w:pPr>
      <w:r>
        <w:rPr>
          <w:rFonts w:ascii="Times New Roman" w:cs="Times New Roman" w:eastAsia="Times New Roman" w:hAnsi="Times New Roman"/>
          <w:b/>
          <w:bCs/>
          <w:sz w:val="21"/>
          <w:szCs w:val="21"/>
        </w:rPr>
        <w:t xml:space="preserve">eTable 7. </w:t>
      </w:r>
      <w:r>
        <w:rPr>
          <w:rFonts w:ascii="Times New Roman" w:cs="Times New Roman" w:eastAsia="Times New Roman" w:hAnsi="Times New Roman"/>
          <w:sz w:val="21"/>
          <w:szCs w:val="21"/>
        </w:rPr>
        <w:t xml:space="preserve">Subgroup analyses with tests for interaction.</w:t>
      </w:r>
    </w:p>
    <w:tbl>
      <w:tblPr>
        <w:tblW w:type="dxa" w:w="9360"/>
        <w:tblBorders>
          <w:top w:val="single" w:color="404040" w:sz="6"/>
          <w:left w:val="none"/>
          <w:bottom w:val="single" w:color="404040" w:sz="6"/>
          <w:right w:val="none"/>
          <w:insideH w:val="single" w:color="CCCCCC" w:sz="2"/>
          <w:insideV w:val="none"/>
        </w:tblBorders>
      </w:tblPr>
      <w:tblGrid>
        <w:gridCol w:w="1300"/>
        <w:gridCol w:w="1600"/>
        <w:gridCol w:w="1250"/>
        <w:gridCol w:w="1650"/>
        <w:gridCol w:w="2260"/>
        <w:gridCol w:w="1300"/>
      </w:tblGrid>
      <w:tr>
        <w:trPr>
          <w:tblHeader/>
        </w:trPr>
        <w:tc>
          <w:tcPr>
            <w:tcW w:type="dxa" w:w="130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Subgroup</w:t>
            </w:r>
          </w:p>
        </w:tc>
        <w:tc>
          <w:tcPr>
            <w:tcW w:type="dxa" w:w="160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Level</w:t>
            </w:r>
          </w:p>
        </w:tc>
        <w:tc>
          <w:tcPr>
            <w:tcW w:type="dxa" w:w="125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IIH events</w:t>
            </w:r>
          </w:p>
        </w:tc>
        <w:tc>
          <w:tcPr>
            <w:tcW w:type="dxa" w:w="165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Comparator events</w:t>
            </w:r>
          </w:p>
        </w:tc>
        <w:tc>
          <w:tcPr>
            <w:tcW w:type="dxa" w:w="226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Hazard ratio (95% CI)</w:t>
            </w:r>
          </w:p>
        </w:tc>
        <w:tc>
          <w:tcPr>
            <w:tcW w:type="dxa" w:w="130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p for interaction</w:t>
            </w:r>
          </w:p>
        </w:tc>
      </w:tr>
      <w:tr>
        <w:trPr>
          <w:tblHeader w:val="false"/>
        </w:trPr>
        <w:tc>
          <w:tcPr>
            <w:tcW w:type="dxa" w:w="13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Age</w:t>
            </w:r>
          </w:p>
        </w:tc>
        <w:tc>
          <w:tcPr>
            <w:tcW w:type="dxa" w:w="16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Age &lt; 35</w:t>
            </w:r>
          </w:p>
        </w:tc>
        <w:tc>
          <w:tcPr>
            <w:tcW w:type="dxa" w:w="12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31</w:t>
            </w:r>
          </w:p>
        </w:tc>
        <w:tc>
          <w:tcPr>
            <w:tcW w:type="dxa" w:w="16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33</w:t>
            </w:r>
          </w:p>
        </w:tc>
        <w:tc>
          <w:tcPr>
            <w:tcW w:type="dxa" w:w="22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1.90 (1.19 to 3.05)</w:t>
            </w:r>
          </w:p>
        </w:tc>
        <w:tc>
          <w:tcPr>
            <w:tcW w:type="dxa" w:w="13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0.311</w:t>
            </w:r>
          </w:p>
        </w:tc>
      </w:tr>
      <w:tr>
        <w:trPr>
          <w:tblHeader w:val="false"/>
        </w:trPr>
        <w:tc>
          <w:tcPr>
            <w:tcW w:type="dxa" w:w="13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Age</w:t>
            </w:r>
          </w:p>
        </w:tc>
        <w:tc>
          <w:tcPr>
            <w:tcW w:type="dxa" w:w="16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Age &gt;= 35</w:t>
            </w:r>
          </w:p>
        </w:tc>
        <w:tc>
          <w:tcPr>
            <w:tcW w:type="dxa" w:w="12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35</w:t>
            </w:r>
          </w:p>
        </w:tc>
        <w:tc>
          <w:tcPr>
            <w:tcW w:type="dxa" w:w="16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30</w:t>
            </w:r>
          </w:p>
        </w:tc>
        <w:tc>
          <w:tcPr>
            <w:tcW w:type="dxa" w:w="22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2.72 (1.66 to 4.45)</w:t>
            </w:r>
          </w:p>
        </w:tc>
        <w:tc>
          <w:tcPr>
            <w:tcW w:type="dxa" w:w="13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0.311</w:t>
            </w:r>
          </w:p>
        </w:tc>
      </w:tr>
      <w:tr>
        <w:trPr>
          <w:tblHeader w:val="false"/>
        </w:trPr>
        <w:tc>
          <w:tcPr>
            <w:tcW w:type="dxa" w:w="13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Sex</w:t>
            </w:r>
          </w:p>
        </w:tc>
        <w:tc>
          <w:tcPr>
            <w:tcW w:type="dxa" w:w="16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Female</w:t>
            </w:r>
          </w:p>
        </w:tc>
        <w:tc>
          <w:tcPr>
            <w:tcW w:type="dxa" w:w="12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53</w:t>
            </w:r>
          </w:p>
        </w:tc>
        <w:tc>
          <w:tcPr>
            <w:tcW w:type="dxa" w:w="16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56</w:t>
            </w:r>
          </w:p>
        </w:tc>
        <w:tc>
          <w:tcPr>
            <w:tcW w:type="dxa" w:w="22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1.98 (1.37 to 2.88)</w:t>
            </w:r>
          </w:p>
        </w:tc>
        <w:tc>
          <w:tcPr>
            <w:tcW w:type="dxa" w:w="13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0.055</w:t>
            </w:r>
          </w:p>
        </w:tc>
      </w:tr>
      <w:tr>
        <w:trPr>
          <w:tblHeader w:val="false"/>
        </w:trPr>
        <w:tc>
          <w:tcPr>
            <w:tcW w:type="dxa" w:w="13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Sex</w:t>
            </w:r>
          </w:p>
        </w:tc>
        <w:tc>
          <w:tcPr>
            <w:tcW w:type="dxa" w:w="16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Male</w:t>
            </w:r>
          </w:p>
        </w:tc>
        <w:tc>
          <w:tcPr>
            <w:tcW w:type="dxa" w:w="12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13</w:t>
            </w:r>
          </w:p>
        </w:tc>
        <w:tc>
          <w:tcPr>
            <w:tcW w:type="dxa" w:w="16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7</w:t>
            </w:r>
          </w:p>
        </w:tc>
        <w:tc>
          <w:tcPr>
            <w:tcW w:type="dxa" w:w="22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5.12 (2.09 to 12.54)</w:t>
            </w:r>
          </w:p>
        </w:tc>
        <w:tc>
          <w:tcPr>
            <w:tcW w:type="dxa" w:w="13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0.055</w:t>
            </w:r>
          </w:p>
        </w:tc>
      </w:tr>
      <w:tr>
        <w:trPr>
          <w:tblHeader w:val="false"/>
        </w:trPr>
        <w:tc>
          <w:tcPr>
            <w:tcW w:type="dxa" w:w="13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BMI</w:t>
            </w:r>
          </w:p>
        </w:tc>
        <w:tc>
          <w:tcPr>
            <w:tcW w:type="dxa" w:w="16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BMI &lt; 35</w:t>
            </w:r>
          </w:p>
        </w:tc>
        <w:tc>
          <w:tcPr>
            <w:tcW w:type="dxa" w:w="12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32</w:t>
            </w:r>
          </w:p>
        </w:tc>
        <w:tc>
          <w:tcPr>
            <w:tcW w:type="dxa" w:w="16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27</w:t>
            </w:r>
          </w:p>
        </w:tc>
        <w:tc>
          <w:tcPr>
            <w:tcW w:type="dxa" w:w="22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2.86 (1.70 to 4.83)</w:t>
            </w:r>
          </w:p>
        </w:tc>
        <w:tc>
          <w:tcPr>
            <w:tcW w:type="dxa" w:w="13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0.259</w:t>
            </w:r>
          </w:p>
        </w:tc>
      </w:tr>
      <w:tr>
        <w:trPr>
          <w:tblHeader w:val="false"/>
        </w:trPr>
        <w:tc>
          <w:tcPr>
            <w:tcW w:type="dxa" w:w="13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BMI</w:t>
            </w:r>
          </w:p>
        </w:tc>
        <w:tc>
          <w:tcPr>
            <w:tcW w:type="dxa" w:w="16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BMI &gt;= 35</w:t>
            </w:r>
          </w:p>
        </w:tc>
        <w:tc>
          <w:tcPr>
            <w:tcW w:type="dxa" w:w="12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34</w:t>
            </w:r>
          </w:p>
        </w:tc>
        <w:tc>
          <w:tcPr>
            <w:tcW w:type="dxa" w:w="165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36</w:t>
            </w:r>
          </w:p>
        </w:tc>
        <w:tc>
          <w:tcPr>
            <w:tcW w:type="dxa" w:w="22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1.87 (1.18 to 2.98)</w:t>
            </w:r>
          </w:p>
        </w:tc>
        <w:tc>
          <w:tcPr>
            <w:tcW w:type="dxa" w:w="13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0.259</w:t>
            </w:r>
          </w:p>
        </w:tc>
      </w:tr>
    </w:tbl>
    <w:p>
      <w:pPr>
        <w:spacing w:after="260" w:before="90"/>
      </w:pPr>
      <w:r>
        <w:rPr>
          <w:rFonts w:ascii="Times New Roman" w:cs="Times New Roman" w:eastAsia="Times New Roman" w:hAnsi="Times New Roman"/>
          <w:i/>
          <w:iCs/>
          <w:color w:val="595959"/>
          <w:sz w:val="17"/>
          <w:szCs w:val="17"/>
        </w:rPr>
        <w:t xml:space="preserve">Interaction was tested by a Wald test on the sandwich covariance. No interaction reached significance. The male stratum rests on 20 events in total and is not interpreted. Source: SAP_T5.</w:t>
      </w:r>
    </w:p>
    <w:p>
      <w:pPr>
        <w:spacing w:after="120" w:before="360"/>
      </w:pPr>
      <w:r>
        <w:rPr>
          <w:rFonts w:ascii="Times New Roman" w:cs="Times New Roman" w:eastAsia="Times New Roman" w:hAnsi="Times New Roman"/>
          <w:b/>
          <w:bCs/>
          <w:sz w:val="21"/>
          <w:szCs w:val="21"/>
        </w:rPr>
        <w:t xml:space="preserve">eTable 8. </w:t>
      </w:r>
      <w:r>
        <w:rPr>
          <w:rFonts w:ascii="Times New Roman" w:cs="Times New Roman" w:eastAsia="Times New Roman" w:hAnsi="Times New Roman"/>
          <w:sz w:val="21"/>
          <w:szCs w:val="21"/>
        </w:rPr>
        <w:t xml:space="preserve">Comorbidities imbalanced after matching, assessed against both confounding criteria.</w:t>
      </w:r>
    </w:p>
    <w:tbl>
      <w:tblPr>
        <w:tblW w:type="dxa" w:w="9360"/>
        <w:tblBorders>
          <w:top w:val="single" w:color="404040" w:sz="6"/>
          <w:left w:val="none"/>
          <w:bottom w:val="single" w:color="404040" w:sz="6"/>
          <w:right w:val="none"/>
          <w:insideH w:val="single" w:color="CCCCCC" w:sz="2"/>
          <w:insideV w:val="none"/>
        </w:tblBorders>
      </w:tblPr>
      <w:tblGrid>
        <w:gridCol w:w="2100"/>
        <w:gridCol w:w="1500"/>
        <w:gridCol w:w="1700"/>
        <w:gridCol w:w="900"/>
        <w:gridCol w:w="2260"/>
        <w:gridCol w:w="900"/>
      </w:tblGrid>
      <w:tr>
        <w:trPr>
          <w:tblHeader/>
        </w:trPr>
        <w:tc>
          <w:tcPr>
            <w:tcW w:type="dxa" w:w="210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Covariate</w:t>
            </w:r>
          </w:p>
        </w:tc>
        <w:tc>
          <w:tcPr>
            <w:tcW w:type="dxa" w:w="150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Prevalence, IIH</w:t>
            </w:r>
          </w:p>
        </w:tc>
        <w:tc>
          <w:tcPr>
            <w:tcW w:type="dxa" w:w="170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Prevalence, comparator</w:t>
            </w:r>
          </w:p>
        </w:tc>
        <w:tc>
          <w:tcPr>
            <w:tcW w:type="dxa" w:w="90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SMD</w:t>
            </w:r>
          </w:p>
        </w:tc>
        <w:tc>
          <w:tcPr>
            <w:tcW w:type="dxa" w:w="226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HR for the outcome (95% CI)</w:t>
            </w:r>
          </w:p>
        </w:tc>
        <w:tc>
          <w:tcPr>
            <w:tcW w:type="dxa" w:w="90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p</w:t>
            </w:r>
          </w:p>
        </w:tc>
      </w:tr>
      <w:tr>
        <w:trPr>
          <w:tblHeader w:val="false"/>
        </w:trPr>
        <w:tc>
          <w:tcPr>
            <w:tcW w:type="dxa" w:w="21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Obstructive sleep apnoea</w:t>
            </w:r>
          </w:p>
        </w:tc>
        <w:tc>
          <w:tcPr>
            <w:tcW w:type="dxa" w:w="15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29.5%</w:t>
            </w:r>
          </w:p>
        </w:tc>
        <w:tc>
          <w:tcPr>
            <w:tcW w:type="dxa" w:w="17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15.4%</w:t>
            </w:r>
          </w:p>
        </w:tc>
        <w:tc>
          <w:tcPr>
            <w:tcW w:type="dxa" w:w="9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0.342</w:t>
            </w:r>
          </w:p>
        </w:tc>
        <w:tc>
          <w:tcPr>
            <w:tcW w:type="dxa" w:w="22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1.87 (1.29 to 2.71)</w:t>
            </w:r>
          </w:p>
        </w:tc>
        <w:tc>
          <w:tcPr>
            <w:tcW w:type="dxa" w:w="9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0.000862</w:t>
            </w:r>
          </w:p>
        </w:tc>
      </w:tr>
      <w:tr>
        <w:trPr>
          <w:tblHeader w:val="false"/>
        </w:trPr>
        <w:tc>
          <w:tcPr>
            <w:tcW w:type="dxa" w:w="21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Hypertension</w:t>
            </w:r>
          </w:p>
        </w:tc>
        <w:tc>
          <w:tcPr>
            <w:tcW w:type="dxa" w:w="15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22.1%</w:t>
            </w:r>
          </w:p>
        </w:tc>
        <w:tc>
          <w:tcPr>
            <w:tcW w:type="dxa" w:w="17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16.4%</w:t>
            </w:r>
          </w:p>
        </w:tc>
        <w:tc>
          <w:tcPr>
            <w:tcW w:type="dxa" w:w="9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0.146</w:t>
            </w:r>
          </w:p>
        </w:tc>
        <w:tc>
          <w:tcPr>
            <w:tcW w:type="dxa" w:w="22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1.41 (0.95 to 2.08)</w:t>
            </w:r>
          </w:p>
        </w:tc>
        <w:tc>
          <w:tcPr>
            <w:tcW w:type="dxa" w:w="9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0.0902</w:t>
            </w:r>
          </w:p>
        </w:tc>
      </w:tr>
      <w:tr>
        <w:trPr>
          <w:tblHeader w:val="false"/>
        </w:trPr>
        <w:tc>
          <w:tcPr>
            <w:tcW w:type="dxa" w:w="21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Polycystic ovary syndrome</w:t>
            </w:r>
          </w:p>
        </w:tc>
        <w:tc>
          <w:tcPr>
            <w:tcW w:type="dxa" w:w="15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12.3%</w:t>
            </w:r>
          </w:p>
        </w:tc>
        <w:tc>
          <w:tcPr>
            <w:tcW w:type="dxa" w:w="17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7.3%</w:t>
            </w:r>
          </w:p>
        </w:tc>
        <w:tc>
          <w:tcPr>
            <w:tcW w:type="dxa" w:w="9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0.171</w:t>
            </w:r>
          </w:p>
        </w:tc>
        <w:tc>
          <w:tcPr>
            <w:tcW w:type="dxa" w:w="22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1.14 (0.64 to 2.02)</w:t>
            </w:r>
          </w:p>
        </w:tc>
        <w:tc>
          <w:tcPr>
            <w:tcW w:type="dxa" w:w="9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0.65</w:t>
            </w:r>
          </w:p>
        </w:tc>
      </w:tr>
    </w:tbl>
    <w:p>
      <w:pPr>
        <w:spacing w:after="260" w:before="90"/>
      </w:pPr>
      <w:r>
        <w:rPr>
          <w:rFonts w:ascii="Times New Roman" w:cs="Times New Roman" w:eastAsia="Times New Roman" w:hAnsi="Times New Roman"/>
          <w:i/>
          <w:iCs/>
          <w:color w:val="595959"/>
          <w:sz w:val="17"/>
          <w:szCs w:val="17"/>
        </w:rPr>
        <w:t xml:space="preserve">A covariate can confound only if it is both imbalanced and associated with the outcome. Only obstructive sleep apnea met both criteria. Polycystic ovary syndrome was imbalanced but unassociated with the outcome and therefore cannot confound. Source: Z_T05.</w:t>
      </w:r>
    </w:p>
    <w:p>
      <w:pPr>
        <w:spacing w:after="120" w:before="360"/>
      </w:pPr>
      <w:r>
        <w:rPr>
          <w:rFonts w:ascii="Times New Roman" w:cs="Times New Roman" w:eastAsia="Times New Roman" w:hAnsi="Times New Roman"/>
          <w:b/>
          <w:bCs/>
          <w:sz w:val="21"/>
          <w:szCs w:val="21"/>
        </w:rPr>
        <w:t xml:space="preserve">eTable 9. </w:t>
      </w:r>
      <w:r>
        <w:rPr>
          <w:rFonts w:ascii="Times New Roman" w:cs="Times New Roman" w:eastAsia="Times New Roman" w:hAnsi="Times New Roman"/>
          <w:sz w:val="21"/>
          <w:szCs w:val="21"/>
        </w:rPr>
        <w:t xml:space="preserve">E-values for the primary estimate, against the measured surveillance rate ratios.</w:t>
      </w:r>
    </w:p>
    <w:tbl>
      <w:tblPr>
        <w:tblW w:type="dxa" w:w="9360"/>
        <w:tblBorders>
          <w:top w:val="single" w:color="404040" w:sz="6"/>
          <w:left w:val="none"/>
          <w:bottom w:val="single" w:color="404040" w:sz="6"/>
          <w:right w:val="none"/>
          <w:insideH w:val="single" w:color="CCCCCC" w:sz="2"/>
          <w:insideV w:val="none"/>
        </w:tblBorders>
      </w:tblPr>
      <w:tblGrid>
        <w:gridCol w:w="3600"/>
        <w:gridCol w:w="1800"/>
        <w:gridCol w:w="3960"/>
      </w:tblGrid>
      <w:tr>
        <w:trPr>
          <w:tblHeader/>
        </w:trPr>
        <w:tc>
          <w:tcPr>
            <w:tcW w:type="dxa" w:w="360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Quantity</w:t>
            </w:r>
          </w:p>
        </w:tc>
        <w:tc>
          <w:tcPr>
            <w:tcW w:type="dxa" w:w="180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Value</w:t>
            </w:r>
          </w:p>
        </w:tc>
        <w:tc>
          <w:tcPr>
            <w:tcW w:type="dxa" w:w="3960"/>
            <w:shd w:fill="EDF1F7" w:color="auto" w:val="clear"/>
            <w:tcMar>
              <w:top w:type="dxa" w:w="50"/>
              <w:left w:type="dxa" w:w="100"/>
              <w:bottom w:type="dxa" w:w="50"/>
              <w:right w:type="dxa" w:w="100"/>
            </w:tcMar>
          </w:tcPr>
          <w:p>
            <w:pPr>
              <w:spacing w:after="15" w:before="15" w:line="240"/>
            </w:pPr>
            <w:r>
              <w:rPr>
                <w:rFonts w:ascii="Times New Roman" w:cs="Times New Roman" w:eastAsia="Times New Roman" w:hAnsi="Times New Roman"/>
                <w:b/>
                <w:bCs/>
                <w:sz w:val="19"/>
                <w:szCs w:val="19"/>
              </w:rPr>
              <w:t xml:space="preserve">Relative to the E-value threshold</w:t>
            </w:r>
          </w:p>
        </w:tc>
      </w:tr>
      <w:tr>
        <w:trPr>
          <w:tblHeader w:val="false"/>
        </w:trPr>
        <w:tc>
          <w:tcPr>
            <w:tcW w:type="dxa" w:w="36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E-value, point estimate</w:t>
            </w:r>
          </w:p>
        </w:tc>
        <w:tc>
          <w:tcPr>
            <w:tcW w:type="dxa" w:w="18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3.99</w:t>
            </w:r>
          </w:p>
        </w:tc>
        <w:tc>
          <w:tcPr>
            <w:tcW w:type="dxa" w:w="39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w:t>
            </w:r>
          </w:p>
        </w:tc>
      </w:tr>
      <w:tr>
        <w:trPr>
          <w:tblHeader w:val="false"/>
        </w:trPr>
        <w:tc>
          <w:tcPr>
            <w:tcW w:type="dxa" w:w="36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E-value, CI limit nearest the null</w:t>
            </w:r>
          </w:p>
        </w:tc>
        <w:tc>
          <w:tcPr>
            <w:tcW w:type="dxa" w:w="18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2.62</w:t>
            </w:r>
          </w:p>
        </w:tc>
        <w:tc>
          <w:tcPr>
            <w:tcW w:type="dxa" w:w="39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w:t>
            </w:r>
          </w:p>
        </w:tc>
      </w:tr>
      <w:tr>
        <w:trPr>
          <w:tblHeader w:val="false"/>
        </w:trPr>
        <w:tc>
          <w:tcPr>
            <w:tcW w:type="dxa" w:w="36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surveillance RR, all clinical visits</w:t>
            </w:r>
          </w:p>
        </w:tc>
        <w:tc>
          <w:tcPr>
            <w:tcW w:type="dxa" w:w="18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2.7</w:t>
            </w:r>
          </w:p>
        </w:tc>
        <w:tc>
          <w:tcPr>
            <w:tcW w:type="dxa" w:w="39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below point-estimate threshold</w:t>
            </w:r>
          </w:p>
        </w:tc>
      </w:tr>
      <w:tr>
        <w:trPr>
          <w:tblHeader w:val="false"/>
        </w:trPr>
        <w:tc>
          <w:tcPr>
            <w:tcW w:type="dxa" w:w="36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surveillance RR, office or clinic</w:t>
            </w:r>
          </w:p>
        </w:tc>
        <w:tc>
          <w:tcPr>
            <w:tcW w:type="dxa" w:w="18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2.92</w:t>
            </w:r>
          </w:p>
        </w:tc>
        <w:tc>
          <w:tcPr>
            <w:tcW w:type="dxa" w:w="39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below point-estimate threshold</w:t>
            </w:r>
          </w:p>
        </w:tc>
      </w:tr>
      <w:tr>
        <w:trPr>
          <w:tblHeader w:val="false"/>
        </w:trPr>
        <w:tc>
          <w:tcPr>
            <w:tcW w:type="dxa" w:w="36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surveillance RR, procedural or diagnostic</w:t>
            </w:r>
          </w:p>
        </w:tc>
        <w:tc>
          <w:tcPr>
            <w:tcW w:type="dxa" w:w="18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2.32</w:t>
            </w:r>
          </w:p>
        </w:tc>
        <w:tc>
          <w:tcPr>
            <w:tcW w:type="dxa" w:w="39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below point-estimate threshold</w:t>
            </w:r>
          </w:p>
        </w:tc>
      </w:tr>
      <w:tr>
        <w:trPr>
          <w:tblHeader w:val="false"/>
        </w:trPr>
        <w:tc>
          <w:tcPr>
            <w:tcW w:type="dxa" w:w="36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surveillance RR, hospital or inpatient</w:t>
            </w:r>
          </w:p>
        </w:tc>
        <w:tc>
          <w:tcPr>
            <w:tcW w:type="dxa" w:w="18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2.27</w:t>
            </w:r>
          </w:p>
        </w:tc>
        <w:tc>
          <w:tcPr>
            <w:tcW w:type="dxa" w:w="39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below both thresholds</w:t>
            </w:r>
          </w:p>
        </w:tc>
      </w:tr>
      <w:tr>
        <w:trPr>
          <w:tblHeader w:val="false"/>
        </w:trPr>
        <w:tc>
          <w:tcPr>
            <w:tcW w:type="dxa" w:w="36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surveillance RR, emergency department</w:t>
            </w:r>
          </w:p>
        </w:tc>
        <w:tc>
          <w:tcPr>
            <w:tcW w:type="dxa" w:w="18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5.74</w:t>
            </w:r>
          </w:p>
        </w:tc>
        <w:tc>
          <w:tcPr>
            <w:tcW w:type="dxa" w:w="39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EXCEEDS point-estimate threshold</w:t>
            </w:r>
          </w:p>
        </w:tc>
      </w:tr>
      <w:tr>
        <w:trPr>
          <w:tblHeader w:val="false"/>
        </w:trPr>
        <w:tc>
          <w:tcPr>
            <w:tcW w:type="dxa" w:w="36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surveillance RR, laboratory</w:t>
            </w:r>
          </w:p>
        </w:tc>
        <w:tc>
          <w:tcPr>
            <w:tcW w:type="dxa" w:w="180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1.14</w:t>
            </w:r>
          </w:p>
        </w:tc>
        <w:tc>
          <w:tcPr>
            <w:tcW w:type="dxa" w:w="3960"/>
            <w:tcMar>
              <w:top w:type="dxa" w:w="50"/>
              <w:left w:type="dxa" w:w="100"/>
              <w:bottom w:type="dxa" w:w="50"/>
              <w:right w:type="dxa" w:w="100"/>
            </w:tcMar>
          </w:tcPr>
          <w:p>
            <w:pPr>
              <w:spacing w:after="15" w:before="15" w:line="240"/>
            </w:pPr>
            <w:r>
              <w:rPr>
                <w:rFonts w:ascii="Times New Roman" w:cs="Times New Roman" w:eastAsia="Times New Roman" w:hAnsi="Times New Roman"/>
                <w:sz w:val="19"/>
                <w:szCs w:val="19"/>
              </w:rPr>
              <w:t xml:space="preserve">below both thresholds</w:t>
            </w:r>
          </w:p>
        </w:tc>
      </w:tr>
    </w:tbl>
    <w:p>
      <w:pPr>
        <w:spacing w:after="260" w:before="90"/>
      </w:pPr>
      <w:r>
        <w:rPr>
          <w:rFonts w:ascii="Times New Roman" w:cs="Times New Roman" w:eastAsia="Times New Roman" w:hAnsi="Times New Roman"/>
          <w:i/>
          <w:iCs/>
          <w:color w:val="595959"/>
          <w:sz w:val="17"/>
          <w:szCs w:val="17"/>
        </w:rPr>
        <w:t xml:space="preserve">An unmeasured mechanism would need to be associated with both IIH status and seizure ascertainment by at least 3.99-fold each, conditional on the measured covariates, to reduce the hazard ratio to unity. Five of the six measured surveillance channels fall below that threshold; emergency department contact (5.74) exceeds it. Source: K_T56.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Tables</dc:title>
  <dc:creator>Selim Tarabeah</dc:creator>
  <cp:lastModifiedBy>Un-named</cp:lastModifiedBy>
  <cp:revision>1</cp:revision>
  <dcterms:created xsi:type="dcterms:W3CDTF">2026-09-25T15:16:54.703Z</dcterms:created>
  <dcterms:modified xsi:type="dcterms:W3CDTF">2026-09-25T15:16:54.703Z</dcterms:modified>
</cp:coreProperties>
</file>

<file path=docProps/custom.xml><?xml version="1.0" encoding="utf-8"?>
<Properties xmlns="http://schemas.openxmlformats.org/officeDocument/2006/custom-properties" xmlns:vt="http://schemas.openxmlformats.org/officeDocument/2006/docPropsVTypes"/>
</file>