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left"/>
      </w:pPr>
      <w:r>
        <w:rPr>
          <w:rFonts w:ascii="Times New Roman" w:cs="Times New Roman" w:eastAsia="Times New Roman" w:hAnsi="Times New Roman"/>
          <w:b/>
          <w:bCs/>
          <w:sz w:val="34"/>
          <w:szCs w:val="34"/>
        </w:rPr>
        <w:t xml:space="preserve">Incident Seizures and Epilepsy After Idiopathic Intracranial Hypertension: A Matched Cohort Study</w:t>
      </w:r>
    </w:p>
    <w:p>
      <w:pPr>
        <w:spacing w:after="0" w:line="480"/>
        <w:jc w:val="left"/>
      </w:pPr>
      <w:r>
        <w:rPr>
          <w:rFonts w:ascii="Times New Roman" w:cs="Times New Roman" w:eastAsia="Times New Roman" w:hAnsi="Times New Roman"/>
          <w:b/>
          <w:bCs/>
          <w:sz w:val="24"/>
          <w:szCs w:val="24"/>
        </w:rPr>
        <w:t xml:space="preserve">Authors:</w:t>
      </w:r>
      <w:r>
        <w:rPr>
          <w:rFonts w:ascii="Times New Roman" w:cs="Times New Roman" w:eastAsia="Times New Roman" w:hAnsi="Times New Roman"/>
          <w:sz w:val="24"/>
          <w:szCs w:val="24"/>
        </w:rPr>
        <w:t xml:space="preserve"> Selim Tarabeah, [co-authors], Michelle Lin </w:t>
      </w:r>
      <w:r>
        <w:rPr>
          <w:rFonts w:ascii="Times New Roman" w:cs="Times New Roman" w:eastAsia="Times New Roman" w:hAnsi="Times New Roman"/>
          <w:b/>
          <w:bCs/>
          <w:sz w:val="24"/>
          <w:szCs w:val="24"/>
        </w:rPr>
        <w:t xml:space="preserve">Affiliation:</w:t>
      </w:r>
      <w:r>
        <w:rPr>
          <w:rFonts w:ascii="Times New Roman" w:cs="Times New Roman" w:eastAsia="Times New Roman" w:hAnsi="Times New Roman"/>
          <w:sz w:val="24"/>
          <w:szCs w:val="24"/>
        </w:rPr>
        <w:t xml:space="preserve"> Mayo Clinic</w:t>
      </w:r>
    </w:p>
    <w:p>
      <w:pPr>
        <w:spacing w:after="120"/>
      </w:pPr>
    </w:p>
    <w:p>
      <w:pPr>
        <w:pBdr>
          <w:left w:val="single" w:color="C8952B" w:sz="18" w:space="8"/>
        </w:pBdr>
        <w:shd w:fill="FFF6E5" w:color="auto" w:val="clear"/>
        <w:spacing w:after="200" w:before="200" w:line="300"/>
      </w:pPr>
      <w:r>
        <w:rPr>
          <w:rFonts w:ascii="Times New Roman" w:cs="Times New Roman" w:eastAsia="Times New Roman" w:hAnsi="Times New Roman"/>
          <w:b/>
          <w:bCs/>
          <w:color w:val="8B5E00"/>
          <w:sz w:val="20"/>
          <w:szCs w:val="20"/>
        </w:rPr>
        <w:t xml:space="preserve">TO BE REMOVED BEFORE SUBMISSION — </w:t>
      </w:r>
      <w:r>
        <w:rPr>
          <w:rFonts w:ascii="Times New Roman" w:cs="Times New Roman" w:eastAsia="Times New Roman" w:hAnsi="Times New Roman"/>
          <w:b/>
          <w:bCs/>
          <w:color w:val="6B4A00"/>
          <w:sz w:val="20"/>
          <w:szCs w:val="20"/>
        </w:rPr>
        <w:t xml:space="preserve">Drafting notes for the authors.</w:t>
      </w:r>
      <w:r>
        <w:rPr>
          <w:rFonts w:ascii="Times New Roman" w:cs="Times New Roman" w:eastAsia="Times New Roman" w:hAnsi="Times New Roman"/>
          <w:color w:val="6B4A00"/>
          <w:sz w:val="20"/>
          <w:szCs w:val="20"/>
        </w:rPr>
        <w:t xml:space="preserve"> Every number is drawn from the final from-scratch run of 18 September 2026 (</w:t>
      </w:r>
      <w:r>
        <w:rPr>
          <w:rFonts w:ascii="Consolas" w:cs="Consolas" w:eastAsia="Consolas" w:hAnsi="Consolas"/>
          <w:color w:val="6B4A00"/>
          <w:sz w:val="20"/>
          <w:szCs w:val="20"/>
        </w:rPr>
        <w:t xml:space="preserve">report/FINAL_RESULTS.md</w:t>
      </w:r>
      <w:r>
        <w:rPr>
          <w:rFonts w:ascii="Times New Roman" w:cs="Times New Roman" w:eastAsia="Times New Roman" w:hAnsi="Times New Roman"/>
          <w:color w:val="6B4A00"/>
          <w:sz w:val="20"/>
          <w:szCs w:val="20"/>
        </w:rPr>
        <w:t xml:space="preserve">); the supporting table is named in a comment beside each. Citations appear as </w:t>
      </w:r>
      <w:r>
        <w:rPr>
          <w:rFonts w:ascii="Consolas" w:cs="Consolas" w:eastAsia="Consolas" w:hAnsi="Consolas"/>
          <w:color w:val="6B4A00"/>
          <w:sz w:val="20"/>
          <w:szCs w:val="20"/>
        </w:rPr>
        <w:t xml:space="preserve">[CITE: …]</w:t>
      </w:r>
      <w:r>
        <w:rPr>
          <w:rFonts w:ascii="Times New Roman" w:cs="Times New Roman" w:eastAsia="Times New Roman" w:hAnsi="Times New Roman"/>
          <w:color w:val="6B4A00"/>
          <w:sz w:val="20"/>
          <w:szCs w:val="20"/>
        </w:rPr>
        <w:t xml:space="preserve"> placeholders — none have been invented. Text in </w:t>
      </w:r>
      <w:r>
        <w:rPr>
          <w:rFonts w:ascii="Consolas" w:cs="Consolas" w:eastAsia="Consolas" w:hAnsi="Consolas"/>
          <w:color w:val="6B4A00"/>
          <w:sz w:val="20"/>
          <w:szCs w:val="20"/>
        </w:rPr>
        <w:t xml:space="preserve">«»</w:t>
      </w:r>
      <w:r>
        <w:rPr>
          <w:rFonts w:ascii="Times New Roman" w:cs="Times New Roman" w:eastAsia="Times New Roman" w:hAnsi="Times New Roman"/>
          <w:color w:val="6B4A00"/>
          <w:sz w:val="20"/>
          <w:szCs w:val="20"/>
        </w:rPr>
        <w:t xml:space="preserve"> is a decision for the authors.</w:t>
      </w:r>
    </w:p>
    <w:p>
      <w:pPr>
        <w:pStyle w:val="Heading2"/>
        <w:spacing w:after="180" w:before="360"/>
      </w:pPr>
      <w:r>
        <w:rPr>
          <w:rFonts w:ascii="Times New Roman" w:cs="Times New Roman" w:eastAsia="Times New Roman" w:hAnsi="Times New Roman"/>
          <w:b/>
          <w:bCs/>
          <w:sz w:val="28"/>
          <w:szCs w:val="28"/>
        </w:rPr>
        <w:t xml:space="preserve">Abstract</w:t>
      </w:r>
    </w:p>
    <w:p>
      <w:pPr>
        <w:spacing w:after="0" w:line="480"/>
        <w:jc w:val="left"/>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To estimate the rate of incident seizures and epilepsy after a diagnosis of idiopathic intracranial hypertension (IIH), and to assess whether differential healthcare surveillance could account for any association observed.</w:t>
      </w:r>
    </w:p>
    <w:p>
      <w:pPr>
        <w:spacing w:after="120"/>
      </w:pPr>
    </w:p>
    <w:p>
      <w:pPr>
        <w:spacing w:after="0" w:line="480"/>
        <w:jc w:val="left"/>
      </w:pP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Matched cohort study in an integrated health-record system. Patients with IIH (aged 13–59 years) were matched to comparators without IIH on sex, age, body mass index (BMI) and BMI calendar year, in five relaxing tiers. Comparators inherited the index date of the case to whom they were matched; a 180-day washout and a prevalent-seizure exclusion were applied to both arms at that shared date. Both arms were required to have at least one dated clinical encounter in the 12 months before the index date. The outcome, defined identically in both arms, was a qualifying seizure or epilepsy code after the washout, or anti-seizure medication continued for 180 days or more. Cause-specific hazard ratios were estimated by Cox regression with a robust variance clustered on the matched set. Differential detection was assessed using eleven negative-control outcomes, empirical calibration, six healthcare-contact measures and quantitative bias analysis.</w:t>
      </w:r>
    </w:p>
    <w:p>
      <w:pPr>
        <w:spacing w:after="120"/>
      </w:pPr>
    </w:p>
    <w:p>
      <w:pPr>
        <w:spacing w:after="0" w:line="480"/>
        <w:jc w:val="left"/>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2,490 IIH cases were matched to 5,743 comparators; 2,138 cases and 5,743 comparators contributed post-washout follow-up. Baseline covariates were closely balanced (standardised mean differences ≤0.06 for age, sex and BMI). Incident seizure or epilepsy occurred in 66 IIH patients (14.46 per 1,000 person-years, 95% CI 11.19–18.40) and 63 comparators (6.72, 5.16–8.60), giving a hazard ratio of </w:t>
      </w:r>
      <w:r>
        <w:rPr>
          <w:rFonts w:ascii="Times New Roman" w:cs="Times New Roman" w:eastAsia="Times New Roman" w:hAnsi="Times New Roman"/>
          <w:b/>
          <w:bCs/>
          <w:sz w:val="24"/>
          <w:szCs w:val="24"/>
        </w:rPr>
        <w:t xml:space="preserve">2.28 (95% CI 1.62–3.22; p = 2.6 × 10⁻⁶)</w:t>
      </w:r>
      <w:r>
        <w:rPr>
          <w:rFonts w:ascii="Times New Roman" w:cs="Times New Roman" w:eastAsia="Times New Roman" w:hAnsi="Times New Roman"/>
          <w:sz w:val="24"/>
          <w:szCs w:val="24"/>
        </w:rPr>
        <w:t xml:space="preserve">. Proportional hazards held (p = 0.94). Three-year cumulative incidence was 3.83% versus 1.71% (risk difference 2.12 percentage points; number needed to harm 47). The estimate was stable across specifications (1.93 to 2.79), landmark analyses (2.22 to 2.49), competing-risk modelling (subdistribution HR 2.28) and overlap weighting (2.31). Surveillance was higher in the IIH arm in every clinician-initiated setting (rate ratios 2.27 to 5.74) but not in laboratory encounters (1.14). All eleven negative-control outcomes were imbalanced at baseline (ratios 1.6 to 5.0). Under healthcare-seeking adjustment every negative control moved toward the null across all six contact measures, whereas the seizure estimate moved away from it. Empirical calibration predicted a detection-attributable hazard ratio of 1.04 (0.37–2.90), an interval that includes the observed estimate.</w:t>
      </w:r>
    </w:p>
    <w:p>
      <w:pPr>
        <w:spacing w:after="120"/>
      </w:pPr>
    </w:p>
    <w:p>
      <w:pPr>
        <w:spacing w:after="0" w:line="480"/>
        <w:jc w:val="left"/>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IIH was associated with a substantially higher rate of incident seizures and epilepsy. Differential surveillance was assessed directly and is unlikely to account for the entire association, but could not be excluded as a partial contributor. These findings support heightened clinical attention to seizure symptoms in patients with IIH; they do not establish causation, and confirmation in a cohort under equivalent specialist follow-up is required.</w:t>
      </w:r>
    </w:p>
    <w:p>
      <w:pPr>
        <w:spacing w:after="120"/>
      </w:pPr>
    </w:p>
    <w:p>
      <w:pPr>
        <w:pStyle w:val="Heading2"/>
        <w:pageBreakBefore/>
        <w:spacing w:after="180" w:before="360"/>
      </w:pPr>
      <w:r>
        <w:rPr>
          <w:rFonts w:ascii="Times New Roman" w:cs="Times New Roman" w:eastAsia="Times New Roman" w:hAnsi="Times New Roman"/>
          <w:b/>
          <w:bCs/>
          <w:sz w:val="28"/>
          <w:szCs w:val="28"/>
        </w:rPr>
        <w:t xml:space="preserve">Introduction</w:t>
      </w:r>
    </w:p>
    <w:p>
      <w:pPr>
        <w:spacing w:after="0" w:line="480"/>
        <w:jc w:val="left"/>
      </w:pPr>
      <w:r>
        <w:rPr>
          <w:rFonts w:ascii="Times New Roman" w:cs="Times New Roman" w:eastAsia="Times New Roman" w:hAnsi="Times New Roman"/>
          <w:sz w:val="24"/>
          <w:szCs w:val="24"/>
        </w:rPr>
        <w:t xml:space="preserve">Idiopathic intracranial hypertension is characterised by raised intracranial pressure without an identifiable structural, vascular or infectious cause. It occurs predominantly in women of reproductive age with elevated body mass index, and its recognised morbidity is dominated by headache and by visual loss from papilledema. </w:t>
      </w:r>
      <w:r>
        <w:rPr>
          <w:rFonts w:ascii="Consolas" w:cs="Consolas" w:eastAsia="Consolas" w:hAnsi="Consolas"/>
          <w:sz w:val="20"/>
          <w:szCs w:val="20"/>
        </w:rPr>
        <w:t xml:space="preserve">[CITE: epidemiology and natural history of IIH]</w:t>
      </w:r>
    </w:p>
    <w:p>
      <w:pPr>
        <w:spacing w:after="120"/>
      </w:pPr>
    </w:p>
    <w:p>
      <w:pPr>
        <w:spacing w:after="0" w:line="480"/>
        <w:jc w:val="left"/>
      </w:pPr>
      <w:r>
        <w:rPr>
          <w:rFonts w:ascii="Times New Roman" w:cs="Times New Roman" w:eastAsia="Times New Roman" w:hAnsi="Times New Roman"/>
          <w:sz w:val="24"/>
          <w:szCs w:val="24"/>
        </w:rPr>
        <w:t xml:space="preserve">Whether IIH carries an increased risk of seizures is unresolved. Raised intracranial pressure has plausible routes to cortical hyperexcitability, and structural correlates of IIH such as meningoceles and encephaloceles of the skull base have been described in patients presenting with seizures. </w:t>
      </w:r>
      <w:r>
        <w:rPr>
          <w:rFonts w:ascii="Consolas" w:cs="Consolas" w:eastAsia="Consolas" w:hAnsi="Consolas"/>
          <w:sz w:val="20"/>
          <w:szCs w:val="20"/>
        </w:rPr>
        <w:t xml:space="preserve">[CITE: skull base meningocele / encephalocele and epilepsy]</w:t>
      </w:r>
      <w:r>
        <w:rPr>
          <w:rFonts w:ascii="Times New Roman" w:cs="Times New Roman" w:eastAsia="Times New Roman" w:hAnsi="Times New Roman"/>
          <w:sz w:val="24"/>
          <w:szCs w:val="24"/>
        </w:rPr>
        <w:t xml:space="preserve"> Against this, reported seizures in IIH cohorts have often been attributable to acetazolamide- related metabolic disturbance, to co-existing conditions, or to the circumstances of acute presentation rather than to intracranial hypertension itself. </w:t>
      </w:r>
      <w:r>
        <w:rPr>
          <w:rFonts w:ascii="Consolas" w:cs="Consolas" w:eastAsia="Consolas" w:hAnsi="Consolas"/>
          <w:sz w:val="20"/>
          <w:szCs w:val="20"/>
        </w:rPr>
        <w:t xml:space="preserve">[CITE: prior IIH seizure reports]</w:t>
      </w:r>
    </w:p>
    <w:p>
      <w:pPr>
        <w:spacing w:after="120"/>
      </w:pPr>
    </w:p>
    <w:p>
      <w:pPr>
        <w:spacing w:after="0" w:line="480"/>
        <w:jc w:val="left"/>
      </w:pPr>
      <w:r>
        <w:rPr>
          <w:rFonts w:ascii="Times New Roman" w:cs="Times New Roman" w:eastAsia="Times New Roman" w:hAnsi="Times New Roman"/>
          <w:sz w:val="24"/>
          <w:szCs w:val="24"/>
        </w:rPr>
        <w:t xml:space="preserve">The question is difficult to answer with health-record data for a specific reason. Patients with IIH are, by the nature of their condition, under intensive specialist follow-up — neurology, neuro-ophthalmology, repeated imaging, frequent clinic attendance. Any outcome ascertained through contact with the health system will therefore appear more common in such patients, whether or not its true incidence differs. An association between IIH and seizures is exactly the shape of finding that differential detection can manufacture.</w:t>
      </w:r>
    </w:p>
    <w:p>
      <w:pPr>
        <w:spacing w:after="120"/>
      </w:pPr>
    </w:p>
    <w:p>
      <w:pPr>
        <w:spacing w:after="0" w:line="480"/>
        <w:jc w:val="left"/>
      </w:pPr>
      <w:r>
        <w:rPr>
          <w:rFonts w:ascii="Times New Roman" w:cs="Times New Roman" w:eastAsia="Times New Roman" w:hAnsi="Times New Roman"/>
          <w:sz w:val="24"/>
          <w:szCs w:val="24"/>
        </w:rPr>
        <w:t xml:space="preserve">We therefore designed this study to do two things: to estimate the rate of incident seizures and epilepsy after IIH in a matched cohort with symmetric ascertainment, and to assess as directly as the data permit whether differential surveillance could account for whatever we found.</w:t>
      </w:r>
    </w:p>
    <w:p>
      <w:pPr>
        <w:spacing w:after="120"/>
      </w:pPr>
    </w:p>
    <w:p>
      <w:pPr>
        <w:pStyle w:val="Heading2"/>
        <w:pageBreakBefore/>
        <w:spacing w:after="180" w:before="360"/>
      </w:pPr>
      <w:r>
        <w:rPr>
          <w:rFonts w:ascii="Times New Roman" w:cs="Times New Roman" w:eastAsia="Times New Roman" w:hAnsi="Times New Roman"/>
          <w:b/>
          <w:bCs/>
          <w:sz w:val="28"/>
          <w:szCs w:val="28"/>
        </w:rPr>
        <w:t xml:space="preserve">Methods</w:t>
      </w:r>
    </w:p>
    <w:p>
      <w:pPr>
        <w:pStyle w:val="Heading3"/>
        <w:spacing w:after="140" w:before="280"/>
      </w:pPr>
      <w:r>
        <w:rPr>
          <w:rFonts w:ascii="Times New Roman" w:cs="Times New Roman" w:eastAsia="Times New Roman" w:hAnsi="Times New Roman"/>
          <w:b/>
          <w:bCs/>
          <w:sz w:val="24"/>
          <w:szCs w:val="24"/>
        </w:rPr>
        <w:t xml:space="preserve">Design and data source</w:t>
      </w:r>
    </w:p>
    <w:p>
      <w:pPr>
        <w:spacing w:after="0" w:line="480"/>
        <w:jc w:val="left"/>
      </w:pPr>
      <w:r>
        <w:rPr>
          <w:rFonts w:ascii="Times New Roman" w:cs="Times New Roman" w:eastAsia="Times New Roman" w:hAnsi="Times New Roman"/>
          <w:sz w:val="24"/>
          <w:szCs w:val="24"/>
        </w:rPr>
        <w:t xml:space="preserve">Matched cohort study using an integrated electronic health record covering inpatient, outpatient, emergency, procedural and laboratory encounters, with linked diagnosis codes, medication records, flowsheet vital signs and vital status. The data freeze was 3 September 2026. </w:t>
      </w:r>
      <w:r>
        <w:rPr>
          <w:rFonts w:ascii="Times New Roman" w:cs="Times New Roman" w:eastAsia="Times New Roman" w:hAnsi="Times New Roman"/>
          <w:i/>
          <w:iCs/>
          <w:color w:val="8B5E00"/>
          <w:sz w:val="24"/>
          <w:szCs w:val="24"/>
        </w:rPr>
        <w:t xml:space="preserve">«Institutional review board statement and approval number to be inserted.»</w:t>
      </w:r>
    </w:p>
    <w:p>
      <w:pPr>
        <w:spacing w:after="120"/>
      </w:pPr>
    </w:p>
    <w:p>
      <w:pPr>
        <w:pStyle w:val="Heading3"/>
        <w:spacing w:after="140" w:before="280"/>
      </w:pPr>
      <w:r>
        <w:rPr>
          <w:rFonts w:ascii="Times New Roman" w:cs="Times New Roman" w:eastAsia="Times New Roman" w:hAnsi="Times New Roman"/>
          <w:b/>
          <w:bCs/>
          <w:sz w:val="24"/>
          <w:szCs w:val="24"/>
        </w:rPr>
        <w:t xml:space="preserve">Cohort and index date</w:t>
      </w:r>
    </w:p>
    <w:p>
      <w:pPr>
        <w:spacing w:after="0" w:line="480"/>
        <w:jc w:val="left"/>
      </w:pPr>
      <w:r>
        <w:rPr>
          <w:rFonts w:ascii="Times New Roman" w:cs="Times New Roman" w:eastAsia="Times New Roman" w:hAnsi="Times New Roman"/>
          <w:sz w:val="24"/>
          <w:szCs w:val="24"/>
        </w:rPr>
        <w:t xml:space="preserve">Patients with a diagnosis of IIH formed the exposed arm. No age criterion was applied by this analysis; ages at index ranged from 13.0 to 59.1 years (median 35.1), the bounds being a property of the supplied extract rather than of the study design. Each case was assigned an index date at diagnosis. Comparators were patients without any IIH code at any date.</w:t>
      </w:r>
    </w:p>
    <w:p>
      <w:pPr>
        <w:spacing w:after="120"/>
      </w:pPr>
    </w:p>
    <w:p>
      <w:pPr>
        <w:spacing w:after="0" w:line="480"/>
        <w:jc w:val="left"/>
      </w:pPr>
      <w:r>
        <w:rPr>
          <w:rFonts w:ascii="Times New Roman" w:cs="Times New Roman" w:eastAsia="Times New Roman" w:hAnsi="Times New Roman"/>
          <w:b/>
          <w:bCs/>
          <w:sz w:val="24"/>
          <w:szCs w:val="24"/>
        </w:rPr>
        <w:t xml:space="preserve">Comparators inherited the index date of the case to whom they were matched.</w:t>
      </w:r>
      <w:r>
        <w:rPr>
          <w:rFonts w:ascii="Times New Roman" w:cs="Times New Roman" w:eastAsia="Times New Roman" w:hAnsi="Times New Roman"/>
          <w:sz w:val="24"/>
          <w:szCs w:val="24"/>
        </w:rPr>
        <w:t xml:space="preserve"> Every time-anchored quantity — eligibility, washout, prevalence exclusion, covariate measurement and the start of follow-up — was then computed from that single shared date, so that the two arms of a matched set were observed over the same calendar window. This is a protocol requirement and not a convenience: in a preliminary analysis in which comparators retained their own index dates, 71% of comparators differed from their matched case by more than 30 days and 48% by more than one year, and that analysis was discarded.</w:t>
      </w:r>
    </w:p>
    <w:p>
      <w:pPr>
        <w:spacing w:after="120"/>
      </w:pPr>
    </w:p>
    <w:p>
      <w:pPr>
        <w:pStyle w:val="Heading3"/>
        <w:spacing w:after="140" w:before="280"/>
      </w:pPr>
      <w:r>
        <w:rPr>
          <w:rFonts w:ascii="Times New Roman" w:cs="Times New Roman" w:eastAsia="Times New Roman" w:hAnsi="Times New Roman"/>
          <w:b/>
          <w:bCs/>
          <w:sz w:val="24"/>
          <w:szCs w:val="24"/>
        </w:rPr>
        <w:t xml:space="preserve">Eligibility</w:t>
      </w:r>
    </w:p>
    <w:p>
      <w:pPr>
        <w:spacing w:after="0" w:line="480"/>
        <w:jc w:val="left"/>
      </w:pPr>
      <w:r>
        <w:rPr>
          <w:rFonts w:ascii="Times New Roman" w:cs="Times New Roman" w:eastAsia="Times New Roman" w:hAnsi="Times New Roman"/>
          <w:sz w:val="24"/>
          <w:szCs w:val="24"/>
        </w:rPr>
        <w:t xml:space="preserve">Both arms were required to have at least one </w:t>
      </w:r>
      <w:r>
        <w:rPr>
          <w:rFonts w:ascii="Times New Roman" w:cs="Times New Roman" w:eastAsia="Times New Roman" w:hAnsi="Times New Roman"/>
          <w:b/>
          <w:bCs/>
          <w:sz w:val="24"/>
          <w:szCs w:val="24"/>
        </w:rPr>
        <w:t xml:space="preserve">dated clinical encounter in the 12 months before the index date</w:t>
      </w:r>
      <w:r>
        <w:rPr>
          <w:rFonts w:ascii="Times New Roman" w:cs="Times New Roman" w:eastAsia="Times New Roman" w:hAnsi="Times New Roman"/>
          <w:sz w:val="24"/>
          <w:szCs w:val="24"/>
        </w:rPr>
        <w:t xml:space="preserve">, establishing that the patient was under observation in the system at the time follow-up began. Encounter type was used to distinguish clinical contact from administrative activity — patient messages, order entry, refills, wait lists and record-keeping — using an exclusion list applied identically to both arms. Approximately 60% of encounter rows in each arm were administrative. Because this classification is a judgement, the entire analysis was run twice: once counting clinical visits only (primary) and once counting every encounter row (sensitivity). </w:t>
      </w:r>
      <w:r>
        <w:rPr>
          <w:rFonts w:ascii="Times New Roman" w:cs="Times New Roman" w:eastAsia="Times New Roman" w:hAnsi="Times New Roman"/>
          <w:b/>
          <w:bCs/>
          <w:sz w:val="24"/>
          <w:szCs w:val="24"/>
        </w:rPr>
        <w:t xml:space="preserve">Encounter type determined eligibility and the censoring date only; it never entered the outcome definition.</w:t>
      </w:r>
    </w:p>
    <w:p>
      <w:pPr>
        <w:spacing w:after="120"/>
      </w:pPr>
    </w:p>
    <w:p>
      <w:pPr>
        <w:spacing w:after="0" w:line="480"/>
        <w:jc w:val="left"/>
      </w:pPr>
      <w:r>
        <w:rPr>
          <w:rFonts w:ascii="Times New Roman" w:cs="Times New Roman" w:eastAsia="Times New Roman" w:hAnsi="Times New Roman"/>
          <w:sz w:val="24"/>
          <w:szCs w:val="24"/>
        </w:rPr>
        <w:t xml:space="preserve">Patients with a seizure code or qualifying anti-seizure medication before the end of the washout were excluded from both arms, evaluated at the shared index date.</w:t>
      </w:r>
    </w:p>
    <w:p>
      <w:pPr>
        <w:spacing w:after="120"/>
      </w:pPr>
    </w:p>
    <w:p>
      <w:pPr>
        <w:pStyle w:val="Heading3"/>
        <w:spacing w:after="140" w:before="280"/>
      </w:pPr>
      <w:r>
        <w:rPr>
          <w:rFonts w:ascii="Times New Roman" w:cs="Times New Roman" w:eastAsia="Times New Roman" w:hAnsi="Times New Roman"/>
          <w:b/>
          <w:bCs/>
          <w:sz w:val="24"/>
          <w:szCs w:val="24"/>
        </w:rPr>
        <w:t xml:space="preserve">Matching</w:t>
      </w:r>
    </w:p>
    <w:p>
      <w:pPr>
        <w:spacing w:after="0" w:line="480"/>
        <w:jc w:val="left"/>
      </w:pPr>
      <w:r>
        <w:rPr>
          <w:rFonts w:ascii="Times New Roman" w:cs="Times New Roman" w:eastAsia="Times New Roman" w:hAnsi="Times New Roman"/>
          <w:sz w:val="24"/>
          <w:szCs w:val="24"/>
        </w:rPr>
        <w:t xml:space="preserve">Cases were matched to comparators on sex, age at index, BMI, and the calendar year in which BMI was recorded, using five progressively relaxing tiers (age within 3 then 5 years; BMI within 3 then 5 units). Race was specified as a matching variable but </w:t>
      </w:r>
      <w:r>
        <w:rPr>
          <w:rFonts w:ascii="Times New Roman" w:cs="Times New Roman" w:eastAsia="Times New Roman" w:hAnsi="Times New Roman"/>
          <w:b/>
          <w:bCs/>
          <w:sz w:val="24"/>
          <w:szCs w:val="24"/>
        </w:rPr>
        <w:t xml:space="preserve">was absent for every IIH case and therefore never constrained the match</w:t>
      </w:r>
      <w:r>
        <w:rPr>
          <w:rFonts w:ascii="Times New Roman" w:cs="Times New Roman" w:eastAsia="Times New Roman" w:hAnsi="Times New Roman"/>
          <w:sz w:val="24"/>
          <w:szCs w:val="24"/>
        </w:rPr>
        <w:t xml:space="preserve">; this is reported rather than concealed, and race is not claimed as a matched covariate anywhere in this paper. BMI was taken from dated flowsheet records, using the value closest in calendar year to the index date; implausible values below the physiological range were excluded. Matching was without replacement in four passes, yielding a variable ratio.</w:t>
      </w:r>
    </w:p>
    <w:p>
      <w:pPr>
        <w:spacing w:after="120"/>
      </w:pPr>
    </w:p>
    <w:p>
      <w:pPr>
        <w:pStyle w:val="Heading3"/>
        <w:spacing w:after="140" w:before="280"/>
      </w:pPr>
      <w:r>
        <w:rPr>
          <w:rFonts w:ascii="Times New Roman" w:cs="Times New Roman" w:eastAsia="Times New Roman" w:hAnsi="Times New Roman"/>
          <w:b/>
          <w:bCs/>
          <w:sz w:val="24"/>
          <w:szCs w:val="24"/>
        </w:rPr>
        <w:t xml:space="preserve">Outcome</w:t>
      </w:r>
    </w:p>
    <w:p>
      <w:pPr>
        <w:spacing w:after="0" w:line="480"/>
        <w:jc w:val="left"/>
      </w:pPr>
      <w:r>
        <w:rPr>
          <w:rFonts w:ascii="Times New Roman" w:cs="Times New Roman" w:eastAsia="Times New Roman" w:hAnsi="Times New Roman"/>
          <w:sz w:val="24"/>
          <w:szCs w:val="24"/>
        </w:rPr>
        <w:t xml:space="preserve">The outcome was </w:t>
      </w:r>
      <w:r>
        <w:rPr>
          <w:rFonts w:ascii="Times New Roman" w:cs="Times New Roman" w:eastAsia="Times New Roman" w:hAnsi="Times New Roman"/>
          <w:b/>
          <w:bCs/>
          <w:sz w:val="24"/>
          <w:szCs w:val="24"/>
        </w:rPr>
        <w:t xml:space="preserve">incident seizure or epilepsy after the 180-day washout</w:t>
      </w:r>
      <w:r>
        <w:rPr>
          <w:rFonts w:ascii="Times New Roman" w:cs="Times New Roman" w:eastAsia="Times New Roman" w:hAnsi="Times New Roman"/>
          <w:sz w:val="24"/>
          <w:szCs w:val="24"/>
        </w:rPr>
        <w:t xml:space="preserve">, defined by a single rule applied identically to both arms:</w:t>
      </w:r>
    </w:p>
    <w:p>
      <w:pPr>
        <w:spacing w:after="120"/>
      </w:pPr>
    </w:p>
    <w:p>
      <w:pPr>
        <w:pStyle w:val="ListParagraph"/>
        <w:numPr>
          <w:ilvl w:val="0"/>
          <w:numId w:val="1"/>
        </w:numPr>
        <w:spacing w:after="60" w:line="360"/>
      </w:pPr>
      <w:r>
        <w:rPr>
          <w:rFonts w:ascii="Times New Roman" w:cs="Times New Roman" w:eastAsia="Times New Roman" w:hAnsi="Times New Roman"/>
          <w:sz w:val="24"/>
          <w:szCs w:val="24"/>
        </w:rPr>
        <w:t xml:space="preserve">a qualifying diagnosis code (G40, 345, R56.9, 780.39); </w:t>
      </w:r>
      <w:r>
        <w:rPr>
          <w:rFonts w:ascii="Times New Roman" w:cs="Times New Roman" w:eastAsia="Times New Roman" w:hAnsi="Times New Roman"/>
          <w:b/>
          <w:bCs/>
          <w:sz w:val="24"/>
          <w:szCs w:val="24"/>
        </w:rPr>
        <w:t xml:space="preserve">or</w:t>
      </w:r>
    </w:p>
    <w:p>
      <w:pPr>
        <w:pStyle w:val="ListParagraph"/>
        <w:numPr>
          <w:ilvl w:val="0"/>
          <w:numId w:val="1"/>
        </w:numPr>
        <w:spacing w:after="60" w:line="360"/>
      </w:pPr>
      <w:r>
        <w:rPr>
          <w:rFonts w:ascii="Times New Roman" w:cs="Times New Roman" w:eastAsia="Times New Roman" w:hAnsi="Times New Roman"/>
          <w:sz w:val="24"/>
          <w:szCs w:val="24"/>
        </w:rPr>
        <w:t xml:space="preserve">anti-seizure medication continued for 180 days or more.</w:t>
      </w:r>
    </w:p>
    <w:p>
      <w:pPr>
        <w:spacing w:after="0" w:line="480"/>
        <w:jc w:val="left"/>
      </w:pPr>
      <w:r>
        <w:rPr>
          <w:rFonts w:ascii="Times New Roman" w:cs="Times New Roman" w:eastAsia="Times New Roman" w:hAnsi="Times New Roman"/>
          <w:sz w:val="24"/>
          <w:szCs w:val="24"/>
        </w:rPr>
        <w:t xml:space="preserve">Codes for febrile, psychogenic and conversion seizures, family history, migraine, syncope and drug adverse effects did not qualify. "Spells, neurological" counted only when accompanied by chronic anti-seizure therapy. Topiramate, acetazolamide, gabapentin, pregabalin and benzodiazepines were not treated as evidence of seizure, since each has common non-seizure indications in this population.</w:t>
      </w:r>
    </w:p>
    <w:p>
      <w:pPr>
        <w:spacing w:after="120"/>
      </w:pPr>
    </w:p>
    <w:p>
      <w:pPr>
        <w:spacing w:after="0" w:line="480"/>
        <w:jc w:val="left"/>
      </w:pPr>
      <w:r>
        <w:rPr>
          <w:rFonts w:ascii="Times New Roman" w:cs="Times New Roman" w:eastAsia="Times New Roman" w:hAnsi="Times New Roman"/>
          <w:sz w:val="24"/>
          <w:szCs w:val="24"/>
        </w:rPr>
        <w:t xml:space="preserve">A secondary outcome distinguished </w:t>
      </w:r>
      <w:r>
        <w:rPr>
          <w:rFonts w:ascii="Times New Roman" w:cs="Times New Roman" w:eastAsia="Times New Roman" w:hAnsi="Times New Roman"/>
          <w:b/>
          <w:bCs/>
          <w:sz w:val="24"/>
          <w:szCs w:val="24"/>
        </w:rPr>
        <w:t xml:space="preserve">recurrent unprovoked seizures or epilepsy</w:t>
      </w:r>
      <w:r>
        <w:rPr>
          <w:rFonts w:ascii="Times New Roman" w:cs="Times New Roman" w:eastAsia="Times New Roman" w:hAnsi="Times New Roman"/>
          <w:sz w:val="24"/>
          <w:szCs w:val="24"/>
        </w:rPr>
        <w:t xml:space="preserve"> from a single seizure event, among those with any event.</w:t>
      </w:r>
    </w:p>
    <w:p>
      <w:pPr>
        <w:spacing w:after="120"/>
      </w:pPr>
    </w:p>
    <w:p>
      <w:pPr>
        <w:pStyle w:val="Heading3"/>
        <w:spacing w:after="140" w:before="280"/>
      </w:pPr>
      <w:r>
        <w:rPr>
          <w:rFonts w:ascii="Times New Roman" w:cs="Times New Roman" w:eastAsia="Times New Roman" w:hAnsi="Times New Roman"/>
          <w:b/>
          <w:bCs/>
          <w:sz w:val="24"/>
          <w:szCs w:val="24"/>
        </w:rPr>
        <w:t xml:space="preserve">Follow-up</w:t>
      </w:r>
    </w:p>
    <w:p>
      <w:pPr>
        <w:spacing w:after="0" w:line="480"/>
        <w:jc w:val="left"/>
      </w:pPr>
      <w:r>
        <w:rPr>
          <w:rFonts w:ascii="Times New Roman" w:cs="Times New Roman" w:eastAsia="Times New Roman" w:hAnsi="Times New Roman"/>
          <w:sz w:val="24"/>
          <w:szCs w:val="24"/>
        </w:rPr>
        <w:t xml:space="preserve">Follow-up ran from the end of the washout to the first of: the outcome, death, the last attended encounter, the data freeze, or three years. The censoring date was derived from attendance and is </w:t>
      </w:r>
      <w:r>
        <w:rPr>
          <w:rFonts w:ascii="Times New Roman" w:cs="Times New Roman" w:eastAsia="Times New Roman" w:hAnsi="Times New Roman"/>
          <w:b/>
          <w:bCs/>
          <w:sz w:val="24"/>
          <w:szCs w:val="24"/>
        </w:rPr>
        <w:t xml:space="preserve">independent of the outcome</w:t>
      </w:r>
      <w:r>
        <w:rPr>
          <w:rFonts w:ascii="Times New Roman" w:cs="Times New Roman" w:eastAsia="Times New Roman" w:hAnsi="Times New Roman"/>
          <w:sz w:val="24"/>
          <w:szCs w:val="24"/>
        </w:rPr>
        <w:t xml:space="preserve">; an outcome-censored clock cannot be used to define the at-risk window, and an earlier analysis that did so was corrected.</w:t>
      </w:r>
    </w:p>
    <w:p>
      <w:pPr>
        <w:spacing w:after="120"/>
      </w:pPr>
    </w:p>
    <w:p>
      <w:pPr>
        <w:pStyle w:val="Heading3"/>
        <w:spacing w:after="140" w:before="280"/>
      </w:pPr>
      <w:r>
        <w:rPr>
          <w:rFonts w:ascii="Times New Roman" w:cs="Times New Roman" w:eastAsia="Times New Roman" w:hAnsi="Times New Roman"/>
          <w:b/>
          <w:bCs/>
          <w:sz w:val="24"/>
          <w:szCs w:val="24"/>
        </w:rPr>
        <w:t xml:space="preserve">Statistical analysis</w:t>
      </w:r>
    </w:p>
    <w:p>
      <w:pPr>
        <w:spacing w:after="0" w:line="480"/>
        <w:jc w:val="left"/>
      </w:pPr>
      <w:r>
        <w:rPr>
          <w:rFonts w:ascii="Times New Roman" w:cs="Times New Roman" w:eastAsia="Times New Roman" w:hAnsi="Times New Roman"/>
          <w:sz w:val="24"/>
          <w:szCs w:val="24"/>
        </w:rPr>
        <w:t xml:space="preserve">Cause-specific hazard ratios were estimated by Cox proportional-hazards regression with a robust sandwich variance clustered on the matched set. Proportional hazards were assessed by scaled Schoenfeld residuals. Cumulative incidence was estimated by the Aalen–Johansen estimator treating death as a competing event; 1 − Kaplan–Meier was not used. Subdistribution hazards were estimated by the Fine–Gray model. Incidence rates carry exact Poisson intervals and proportions exact binomial intervals. Subgroup effects were tested by a Wald test on the interaction term using the sandwich covariance, never by comparing significance between subgroups. An overlap-weighted analysis was fitted as a non-matched check. Analyses were pre-specified in a statistical analysis plan (</w:t>
      </w:r>
      <w:r>
        <w:rPr>
          <w:rFonts w:ascii="Consolas" w:cs="Consolas" w:eastAsia="Consolas" w:hAnsi="Consolas"/>
          <w:sz w:val="20"/>
          <w:szCs w:val="20"/>
        </w:rPr>
        <w:t xml:space="preserve">report/STATISTICAL_ANALYSIS_PLAN.md</w:t>
      </w:r>
      <w:r>
        <w:rPr>
          <w:rFonts w:ascii="Times New Roman" w:cs="Times New Roman" w:eastAsia="Times New Roman" w:hAnsi="Times New Roman"/>
          <w:sz w:val="24"/>
          <w:szCs w:val="24"/>
        </w:rPr>
        <w:t xml:space="preserve">); deviations are reported in that document.</w:t>
      </w:r>
    </w:p>
    <w:p>
      <w:pPr>
        <w:spacing w:after="120"/>
      </w:pPr>
    </w:p>
    <w:p>
      <w:pPr>
        <w:pStyle w:val="Heading3"/>
        <w:spacing w:after="140" w:before="280"/>
      </w:pPr>
      <w:r>
        <w:rPr>
          <w:rFonts w:ascii="Times New Roman" w:cs="Times New Roman" w:eastAsia="Times New Roman" w:hAnsi="Times New Roman"/>
          <w:b/>
          <w:bCs/>
          <w:sz w:val="24"/>
          <w:szCs w:val="24"/>
        </w:rPr>
        <w:t xml:space="preserve">Assessment of differential detection</w:t>
      </w:r>
    </w:p>
    <w:p>
      <w:pPr>
        <w:spacing w:after="0" w:line="480"/>
        <w:jc w:val="left"/>
      </w:pPr>
      <w:r>
        <w:rPr>
          <w:rFonts w:ascii="Times New Roman" w:cs="Times New Roman" w:eastAsia="Times New Roman" w:hAnsi="Times New Roman"/>
          <w:sz w:val="24"/>
          <w:szCs w:val="24"/>
        </w:rPr>
        <w:t xml:space="preserve">Because differential surveillance is the principal threat to validity, it was assessed directly by five methods, all pre-specified:</w:t>
      </w:r>
    </w:p>
    <w:p>
      <w:pPr>
        <w:spacing w:after="120"/>
      </w:pPr>
    </w:p>
    <w:p>
      <w:pPr>
        <w:pStyle w:val="ListParagraph"/>
        <w:numPr>
          <w:ilvl w:val="0"/>
          <w:numId w:val="2"/>
        </w:numPr>
        <w:spacing w:after="60" w:line="360"/>
      </w:pPr>
      <w:r>
        <w:rPr>
          <w:rFonts w:ascii="Times New Roman" w:cs="Times New Roman" w:eastAsia="Times New Roman" w:hAnsi="Times New Roman"/>
          <w:b/>
          <w:bCs/>
          <w:sz w:val="24"/>
          <w:szCs w:val="24"/>
        </w:rPr>
        <w:t xml:space="preserve">Negative-control outcomes.</w:t>
      </w:r>
      <w:r>
        <w:rPr>
          <w:rFonts w:ascii="Times New Roman" w:cs="Times New Roman" w:eastAsia="Times New Roman" w:hAnsi="Times New Roman"/>
          <w:sz w:val="24"/>
          <w:szCs w:val="24"/>
        </w:rPr>
        <w:t xml:space="preserve"> Eleven conditions with no plausible</w:t>
      </w:r>
    </w:p>
    <w:p>
      <w:pPr>
        <w:spacing w:after="0" w:line="480"/>
        <w:jc w:val="left"/>
      </w:pPr>
      <w:r>
        <w:rPr>
          <w:rFonts w:ascii="Times New Roman" w:cs="Times New Roman" w:eastAsia="Times New Roman" w:hAnsi="Times New Roman"/>
          <w:sz w:val="24"/>
          <w:szCs w:val="24"/>
        </w:rPr>
        <w:t xml:space="preserve">relationship to intracranial pressure, ascertained by the same mechanism as the primary outcome. Baseline prevalence was compared first, and decided admission. 2. </w:t>
      </w:r>
      <w:r>
        <w:rPr>
          <w:rFonts w:ascii="Times New Roman" w:cs="Times New Roman" w:eastAsia="Times New Roman" w:hAnsi="Times New Roman"/>
          <w:b/>
          <w:bCs/>
          <w:sz w:val="24"/>
          <w:szCs w:val="24"/>
        </w:rPr>
        <w:t xml:space="preserve">Empirical calibration.</w:t>
      </w:r>
      <w:r>
        <w:rPr>
          <w:rFonts w:ascii="Times New Roman" w:cs="Times New Roman" w:eastAsia="Times New Roman" w:hAnsi="Times New Roman"/>
          <w:sz w:val="24"/>
          <w:szCs w:val="24"/>
        </w:rPr>
        <w:t xml:space="preserve"> The observed log hazard ratio for each control was regressed on its log baseline prevalence ratio, and the fitted value at baseline balance taken as the detection-attributable effect. 3. </w:t>
      </w:r>
      <w:r>
        <w:rPr>
          <w:rFonts w:ascii="Times New Roman" w:cs="Times New Roman" w:eastAsia="Times New Roman" w:hAnsi="Times New Roman"/>
          <w:b/>
          <w:bCs/>
          <w:sz w:val="24"/>
          <w:szCs w:val="24"/>
        </w:rPr>
        <w:t xml:space="preserve">Healthcare-seeking adjustment.</w:t>
      </w:r>
      <w:r>
        <w:rPr>
          <w:rFonts w:ascii="Times New Roman" w:cs="Times New Roman" w:eastAsia="Times New Roman" w:hAnsi="Times New Roman"/>
          <w:sz w:val="24"/>
          <w:szCs w:val="24"/>
        </w:rPr>
        <w:t xml:space="preserve"> Six independent measures of pre-index contact, each used to adjust every outcome, examining the </w:t>
      </w:r>
      <w:r>
        <w:rPr>
          <w:rFonts w:ascii="Times New Roman" w:cs="Times New Roman" w:eastAsia="Times New Roman" w:hAnsi="Times New Roman"/>
          <w:i/>
          <w:iCs/>
          <w:sz w:val="24"/>
          <w:szCs w:val="24"/>
        </w:rPr>
        <w:t xml:space="preserve">direction</w:t>
      </w:r>
      <w:r>
        <w:rPr>
          <w:rFonts w:ascii="Times New Roman" w:cs="Times New Roman" w:eastAsia="Times New Roman" w:hAnsi="Times New Roman"/>
          <w:sz w:val="24"/>
          <w:szCs w:val="24"/>
        </w:rPr>
        <w:t xml:space="preserve"> of movement rather than its size. 4. </w:t>
      </w:r>
      <w:r>
        <w:rPr>
          <w:rFonts w:ascii="Times New Roman" w:cs="Times New Roman" w:eastAsia="Times New Roman" w:hAnsi="Times New Roman"/>
          <w:b/>
          <w:bCs/>
          <w:sz w:val="24"/>
          <w:szCs w:val="24"/>
        </w:rPr>
        <w:t xml:space="preserve">Post-index surveillance.</w:t>
      </w:r>
      <w:r>
        <w:rPr>
          <w:rFonts w:ascii="Times New Roman" w:cs="Times New Roman" w:eastAsia="Times New Roman" w:hAnsi="Times New Roman"/>
          <w:sz w:val="24"/>
          <w:szCs w:val="24"/>
        </w:rPr>
        <w:t xml:space="preserve"> Encounter rates by setting, reported descriptively. Post-index contact was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adjusted for in the primary model: it is a consequence of the outcome as well as a determinant of its ascertainment, and conditioning on it induces collider bias. This was demonstrated empirically rather than asserted. 5. </w:t>
      </w:r>
      <w:r>
        <w:rPr>
          <w:rFonts w:ascii="Times New Roman" w:cs="Times New Roman" w:eastAsia="Times New Roman" w:hAnsi="Times New Roman"/>
          <w:b/>
          <w:bCs/>
          <w:sz w:val="24"/>
          <w:szCs w:val="24"/>
        </w:rPr>
        <w:t xml:space="preserve">Quantitative bias analysis.</w:t>
      </w:r>
      <w:r>
        <w:rPr>
          <w:rFonts w:ascii="Times New Roman" w:cs="Times New Roman" w:eastAsia="Times New Roman" w:hAnsi="Times New Roman"/>
          <w:sz w:val="24"/>
          <w:szCs w:val="24"/>
        </w:rPr>
        <w:t xml:space="preserve"> E-values for the point estimate and the confidence limit, compared against the measured surveillance rate ratios.</w:t>
      </w:r>
    </w:p>
    <w:p>
      <w:pPr>
        <w:spacing w:after="120"/>
      </w:pPr>
    </w:p>
    <w:p>
      <w:pPr>
        <w:pStyle w:val="Heading3"/>
        <w:spacing w:after="140" w:before="280"/>
      </w:pPr>
      <w:r>
        <w:rPr>
          <w:rFonts w:ascii="Times New Roman" w:cs="Times New Roman" w:eastAsia="Times New Roman" w:hAnsi="Times New Roman"/>
          <w:b/>
          <w:bCs/>
          <w:sz w:val="24"/>
          <w:szCs w:val="24"/>
        </w:rPr>
        <w:t xml:space="preserve">Reproducibility</w:t>
      </w:r>
    </w:p>
    <w:p>
      <w:pPr>
        <w:spacing w:after="0" w:line="480"/>
        <w:jc w:val="left"/>
      </w:pPr>
      <w:r>
        <w:rPr>
          <w:rFonts w:ascii="Times New Roman" w:cs="Times New Roman" w:eastAsia="Times New Roman" w:hAnsi="Times New Roman"/>
          <w:sz w:val="24"/>
          <w:szCs w:val="24"/>
        </w:rPr>
        <w:t xml:space="preserve">The entire analysis runs from the raw exports in a single command (</w:t>
      </w:r>
      <w:r>
        <w:rPr>
          <w:rFonts w:ascii="Consolas" w:cs="Consolas" w:eastAsia="Consolas" w:hAnsi="Consolas"/>
          <w:sz w:val="20"/>
          <w:szCs w:val="20"/>
        </w:rPr>
        <w:t xml:space="preserve">./run_final.sh</w:t>
      </w:r>
      <w:r>
        <w:rPr>
          <w:rFonts w:ascii="Times New Roman" w:cs="Times New Roman" w:eastAsia="Times New Roman" w:hAnsi="Times New Roman"/>
          <w:sz w:val="24"/>
          <w:szCs w:val="24"/>
        </w:rPr>
        <w:t xml:space="preserve">). Derived datasets are deleted before the run. A provenance gate verifies every input before any analysis executes and halts if the encounter export falls at or below Excel's row ceiling, the failure mode that silently truncated an earlier extract. A freshness gate verifies that every table entering the results document was written by that run. Raw files are opened read-only.</w:t>
      </w:r>
    </w:p>
    <w:p>
      <w:pPr>
        <w:spacing w:after="120"/>
      </w:pPr>
    </w:p>
    <w:p>
      <w:pPr>
        <w:pStyle w:val="Heading2"/>
        <w:pageBreakBefore/>
        <w:spacing w:after="180" w:before="360"/>
      </w:pPr>
      <w:r>
        <w:rPr>
          <w:rFonts w:ascii="Times New Roman" w:cs="Times New Roman" w:eastAsia="Times New Roman" w:hAnsi="Times New Roman"/>
          <w:b/>
          <w:bCs/>
          <w:sz w:val="28"/>
          <w:szCs w:val="28"/>
        </w:rPr>
        <w:t xml:space="preserve">Results</w:t>
      </w:r>
    </w:p>
    <w:p>
      <w:pPr>
        <w:pStyle w:val="Heading3"/>
        <w:spacing w:after="140" w:before="280"/>
      </w:pPr>
      <w:r>
        <w:rPr>
          <w:rFonts w:ascii="Times New Roman" w:cs="Times New Roman" w:eastAsia="Times New Roman" w:hAnsi="Times New Roman"/>
          <w:b/>
          <w:bCs/>
          <w:sz w:val="24"/>
          <w:szCs w:val="24"/>
        </w:rPr>
        <w:t xml:space="preserve">Cohort</w:t>
      </w:r>
    </w:p>
    <w:p>
      <w:pPr>
        <w:spacing w:after="0" w:line="480"/>
        <w:jc w:val="left"/>
      </w:pPr>
      <w:r>
        <w:rPr>
          <w:rFonts w:ascii="Times New Roman" w:cs="Times New Roman" w:eastAsia="Times New Roman" w:hAnsi="Times New Roman"/>
          <w:sz w:val="24"/>
          <w:szCs w:val="24"/>
        </w:rPr>
        <w:t xml:space="preserve">Of 2,520 IIH patients meeting the engagement requirement, 2,490 (98.8%) were matched, to 5,743 comparators (mean 2.31 per case; 87% matched at the strictest tier). 2,138 cases and 5,743 comparators contributed follow-up beyond the washout. </w:t>
      </w:r>
      <w:r>
        <w:rPr>
          <w:rFonts w:ascii="Times New Roman" w:cs="Times New Roman" w:eastAsia="Times New Roman" w:hAnsi="Times New Roman"/>
          <w:i/>
          <w:iCs/>
          <w:sz w:val="24"/>
          <w:szCs w:val="24"/>
        </w:rPr>
        <w:t xml:space="preserve">(Table K_T40)</w:t>
      </w:r>
    </w:p>
    <w:p>
      <w:pPr>
        <w:spacing w:after="120"/>
      </w:pPr>
    </w:p>
    <w:p>
      <w:pPr>
        <w:pStyle w:val="Heading3"/>
        <w:spacing w:after="140" w:before="280"/>
      </w:pPr>
      <w:r>
        <w:rPr>
          <w:rFonts w:ascii="Times New Roman" w:cs="Times New Roman" w:eastAsia="Times New Roman" w:hAnsi="Times New Roman"/>
          <w:b/>
          <w:bCs/>
          <w:sz w:val="24"/>
          <w:szCs w:val="24"/>
        </w:rPr>
        <w:t xml:space="preserve">Baseline characteristics</w:t>
      </w:r>
    </w:p>
    <w:p>
      <w:pPr>
        <w:spacing w:after="0" w:line="480"/>
        <w:jc w:val="left"/>
      </w:pPr>
      <w:r>
        <w:rPr>
          <w:rFonts w:ascii="Times New Roman" w:cs="Times New Roman" w:eastAsia="Times New Roman" w:hAnsi="Times New Roman"/>
          <w:sz w:val="24"/>
          <w:szCs w:val="24"/>
        </w:rPr>
        <w:t xml:space="preserve">Age, sex and BMI were closely balanced (Table 1; standardised mean differences −0.065, 0.034 and 0.050). Two imbalances were not resolved by matching and are reported rather than smoothed over. Hypertension was more common in the IIH arm (22.1% versus 16.4%, SMD 0.146). Recorded smoking differed implausibly (0.7% versus 7.5%), which reflects differential capture of social history between the two source extracts rather than a real difference, and smoking was therefore not used as a covariate. Pre-index clinical visits differed substantially (20.6 versus 9.2 per year, SMD 0.526) — this is the surveillance imbalance itself, and is the subject of the detection analyses below. </w:t>
      </w:r>
      <w:r>
        <w:rPr>
          <w:rFonts w:ascii="Times New Roman" w:cs="Times New Roman" w:eastAsia="Times New Roman" w:hAnsi="Times New Roman"/>
          <w:i/>
          <w:iCs/>
          <w:sz w:val="24"/>
          <w:szCs w:val="24"/>
        </w:rPr>
        <w:t xml:space="preserve">(Table SAP_T1)</w:t>
      </w:r>
    </w:p>
    <w:p>
      <w:pPr>
        <w:spacing w:after="120"/>
      </w:pPr>
    </w:p>
    <w:p>
      <w:pPr>
        <w:pStyle w:val="Heading3"/>
        <w:spacing w:after="140" w:before="280"/>
      </w:pPr>
      <w:r>
        <w:rPr>
          <w:rFonts w:ascii="Times New Roman" w:cs="Times New Roman" w:eastAsia="Times New Roman" w:hAnsi="Times New Roman"/>
          <w:b/>
          <w:bCs/>
          <w:sz w:val="24"/>
          <w:szCs w:val="24"/>
        </w:rPr>
        <w:t xml:space="preserve">Primary outcome</w:t>
      </w:r>
    </w:p>
    <w:p>
      <w:pPr>
        <w:spacing w:after="0" w:line="480"/>
        <w:jc w:val="left"/>
      </w:pPr>
      <w:r>
        <w:rPr>
          <w:rFonts w:ascii="Times New Roman" w:cs="Times New Roman" w:eastAsia="Times New Roman" w:hAnsi="Times New Roman"/>
          <w:sz w:val="24"/>
          <w:szCs w:val="24"/>
        </w:rPr>
        <w:t xml:space="preserve">Incident seizure or epilepsy occurred in </w:t>
      </w:r>
      <w:r>
        <w:rPr>
          <w:rFonts w:ascii="Times New Roman" w:cs="Times New Roman" w:eastAsia="Times New Roman" w:hAnsi="Times New Roman"/>
          <w:b/>
          <w:bCs/>
          <w:sz w:val="24"/>
          <w:szCs w:val="24"/>
        </w:rPr>
        <w:t xml:space="preserve">66 of 2,138 IIH patients</w:t>
      </w:r>
      <w:r>
        <w:rPr>
          <w:rFonts w:ascii="Times New Roman" w:cs="Times New Roman" w:eastAsia="Times New Roman" w:hAnsi="Times New Roman"/>
          <w:sz w:val="24"/>
          <w:szCs w:val="24"/>
        </w:rPr>
        <w:t xml:space="preserve"> (14.46 per 1,000 person-years, 95% CI 11.19–18.40) and </w:t>
      </w:r>
      <w:r>
        <w:rPr>
          <w:rFonts w:ascii="Times New Roman" w:cs="Times New Roman" w:eastAsia="Times New Roman" w:hAnsi="Times New Roman"/>
          <w:b/>
          <w:bCs/>
          <w:sz w:val="24"/>
          <w:szCs w:val="24"/>
        </w:rPr>
        <w:t xml:space="preserve">63 of 5,743 comparators</w:t>
      </w:r>
      <w:r>
        <w:rPr>
          <w:rFonts w:ascii="Times New Roman" w:cs="Times New Roman" w:eastAsia="Times New Roman" w:hAnsi="Times New Roman"/>
          <w:sz w:val="24"/>
          <w:szCs w:val="24"/>
        </w:rPr>
        <w:t xml:space="preserve"> (6.72, 5.16–8.60). The cause-specific hazard ratio was </w:t>
      </w:r>
      <w:r>
        <w:rPr>
          <w:rFonts w:ascii="Times New Roman" w:cs="Times New Roman" w:eastAsia="Times New Roman" w:hAnsi="Times New Roman"/>
          <w:b/>
          <w:bCs/>
          <w:sz w:val="24"/>
          <w:szCs w:val="24"/>
        </w:rPr>
        <w:t xml:space="preserve">2.28 (95% CI 1.62–3.22; p = 2.6 × 10⁻⁶)</w:t>
      </w:r>
      <w:r>
        <w:rPr>
          <w:rFonts w:ascii="Times New Roman" w:cs="Times New Roman" w:eastAsia="Times New Roman" w:hAnsi="Times New Roman"/>
          <w:sz w:val="24"/>
          <w:szCs w:val="24"/>
        </w:rPr>
        <w:t xml:space="preserve">, with proportional hazards satisfied (p = 0.94). Three-year cumulative incidence was </w:t>
      </w:r>
      <w:r>
        <w:rPr>
          <w:rFonts w:ascii="Times New Roman" w:cs="Times New Roman" w:eastAsia="Times New Roman" w:hAnsi="Times New Roman"/>
          <w:b/>
          <w:bCs/>
          <w:sz w:val="24"/>
          <w:szCs w:val="24"/>
        </w:rPr>
        <w:t xml:space="preserve">3.83% versus 1.71%</w:t>
      </w:r>
      <w:r>
        <w:rPr>
          <w:rFonts w:ascii="Times New Roman" w:cs="Times New Roman" w:eastAsia="Times New Roman" w:hAnsi="Times New Roman"/>
          <w:sz w:val="24"/>
          <w:szCs w:val="24"/>
        </w:rPr>
        <w:t xml:space="preserve">, a risk difference of 2.12 percentage points and a number needed to harm of 47 over three years (Figure 1). </w:t>
      </w:r>
      <w:r>
        <w:rPr>
          <w:rFonts w:ascii="Times New Roman" w:cs="Times New Roman" w:eastAsia="Times New Roman" w:hAnsi="Times New Roman"/>
          <w:i/>
          <w:iCs/>
          <w:sz w:val="24"/>
          <w:szCs w:val="24"/>
        </w:rPr>
        <w:t xml:space="preserve">(Table K_T38)</w:t>
      </w:r>
    </w:p>
    <w:p>
      <w:pPr>
        <w:spacing w:after="120"/>
      </w:pPr>
    </w:p>
    <w:p>
      <w:pPr>
        <w:pStyle w:val="Heading3"/>
        <w:spacing w:after="140" w:before="280"/>
      </w:pPr>
      <w:r>
        <w:rPr>
          <w:rFonts w:ascii="Times New Roman" w:cs="Times New Roman" w:eastAsia="Times New Roman" w:hAnsi="Times New Roman"/>
          <w:b/>
          <w:bCs/>
          <w:sz w:val="24"/>
          <w:szCs w:val="24"/>
        </w:rPr>
        <w:t xml:space="preserve">Sensitivity analyses</w:t>
      </w:r>
    </w:p>
    <w:p>
      <w:pPr>
        <w:spacing w:after="0" w:line="480"/>
        <w:jc w:val="left"/>
      </w:pPr>
      <w:r>
        <w:rPr>
          <w:rFonts w:ascii="Times New Roman" w:cs="Times New Roman" w:eastAsia="Times New Roman" w:hAnsi="Times New Roman"/>
          <w:sz w:val="24"/>
          <w:szCs w:val="24"/>
        </w:rPr>
        <w:t xml:space="preserve">The estimate was stable across every specification examined (Figure 2):</w:t>
      </w:r>
    </w:p>
    <w:p>
      <w:pPr>
        <w:spacing w:after="120"/>
      </w:pPr>
    </w:p>
    <w:tbl>
      <w:tblPr>
        <w:tblW w:type="dxa" w:w="9360"/>
        <w:tblBorders>
          <w:top w:val="single" w:color="404040" w:sz="6"/>
          <w:left w:val="none"/>
          <w:bottom w:val="single" w:color="404040" w:sz="6"/>
          <w:right w:val="none"/>
          <w:insideH w:val="single" w:color="C8C8C8" w:sz="2"/>
          <w:insideV w:val="none"/>
        </w:tblBorders>
      </w:tblPr>
      <w:tblGrid>
        <w:gridCol w:w="6360"/>
        <w:gridCol w:w="3000"/>
      </w:tblGrid>
      <w:tr>
        <w:trPr>
          <w:tblHeader/>
        </w:trPr>
        <w:tc>
          <w:tcPr>
            <w:tcW w:type="dxa" w:w="636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Specification</w:t>
            </w:r>
          </w:p>
        </w:tc>
        <w:tc>
          <w:tcPr>
            <w:tcW w:type="dxa" w:w="30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Hazard ratio</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Primary</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2.28 (1.62–3.22)</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Codes only, medication channel removed</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1.93 (1.34–2.77)</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Epilepsy-specific codes only (G40/345)</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2.30 (1.35–3.92)</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Restricted to opening pressure ≥25 cmH₂O</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2.25 (1.41–3.59)</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All encounter rows counted as contact</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2.79 (1.98–3.93)</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Complete matched sets only</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2.06 (1.46–2.92)</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Landmark, first 30 days excluded</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2.49 (1.73–3.58)</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Landmark, first 90 days excluded</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2.29 (1.54–3.41)</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Landmark, first 180 days excluded</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2.22 (1.40–3.51)</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Fine–Gray subdistribution</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2.28 (1.62–3.22)</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Overlap-weighted</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2.31 (1.56–3.43)</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Adjusted for OSA, hypertension and PCOS</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2.11 (1.48–3.01)</w:t>
            </w:r>
          </w:p>
        </w:tc>
      </w:tr>
      <w:tr>
        <w:trPr>
          <w:tblHeader w:val="false"/>
        </w:trPr>
        <w:tc>
          <w:tcPr>
            <w:tcW w:type="dxa" w:w="63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Restricted to age ≥18 at index</w:t>
            </w:r>
          </w:p>
        </w:tc>
        <w:tc>
          <w:tcPr>
            <w:tcW w:type="dxa" w:w="3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2.26 (1.59–3.20)</w:t>
            </w:r>
          </w:p>
        </w:tc>
      </w:tr>
    </w:tbl>
    <w:p>
      <w:pPr>
        <w:spacing w:after="160"/>
      </w:pPr>
    </w:p>
    <w:p>
      <w:pPr>
        <w:spacing w:after="0" w:line="480"/>
        <w:jc w:val="left"/>
      </w:pPr>
      <w:r>
        <w:rPr>
          <w:rFonts w:ascii="Times New Roman" w:cs="Times New Roman" w:eastAsia="Times New Roman" w:hAnsi="Times New Roman"/>
          <w:sz w:val="24"/>
          <w:szCs w:val="24"/>
        </w:rPr>
        <w:t xml:space="preserve">Two of these warrant comment. The </w:t>
      </w:r>
      <w:r>
        <w:rPr>
          <w:rFonts w:ascii="Times New Roman" w:cs="Times New Roman" w:eastAsia="Times New Roman" w:hAnsi="Times New Roman"/>
          <w:b/>
          <w:bCs/>
          <w:sz w:val="24"/>
          <w:szCs w:val="24"/>
        </w:rPr>
        <w:t xml:space="preserve">complete-sets</w:t>
      </w:r>
      <w:r>
        <w:rPr>
          <w:rFonts w:ascii="Times New Roman" w:cs="Times New Roman" w:eastAsia="Times New Roman" w:hAnsi="Times New Roman"/>
          <w:sz w:val="24"/>
          <w:szCs w:val="24"/>
        </w:rPr>
        <w:t xml:space="preserve"> analysis addresses a structural feature of the matching: comparators were required at selection to have follow-up beyond the washout, whereas cases were not, so 352 matched sets lost their case while retaining 789 comparators who contributed person-time and two events without a case in the set. Removing those comparators attenuates the estimate to 2.06 (1.46–2.92) — a reduction of about 10%, which does not change the conclusion but is reported because it is a real feature of the design. </w:t>
      </w:r>
      <w:r>
        <w:rPr>
          <w:rFonts w:ascii="Times New Roman" w:cs="Times New Roman" w:eastAsia="Times New Roman" w:hAnsi="Times New Roman"/>
          <w:i/>
          <w:iCs/>
          <w:color w:val="8B5E00"/>
          <w:sz w:val="24"/>
          <w:szCs w:val="24"/>
        </w:rPr>
        <w:t xml:space="preserve">«Authors to decide whether the complete-sets estimate should be the primary one; the argument for it is that every comparator then sits in a set with its case.»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(Table Z_T01)</w:t>
      </w:r>
    </w:p>
    <w:p>
      <w:pPr>
        <w:spacing w:after="120"/>
      </w:pPr>
    </w:p>
    <w:p>
      <w:pPr>
        <w:spacing w:after="0" w:line="480"/>
        <w:jc w:val="left"/>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all-rows</w:t>
      </w:r>
      <w:r>
        <w:rPr>
          <w:rFonts w:ascii="Times New Roman" w:cs="Times New Roman" w:eastAsia="Times New Roman" w:hAnsi="Times New Roman"/>
          <w:sz w:val="24"/>
          <w:szCs w:val="24"/>
        </w:rPr>
        <w:t xml:space="preserve"> analysis gives a larger estimate (2.79) than the primary, confirming that the primary specification is the conservative of the two.</w:t>
      </w:r>
    </w:p>
    <w:p>
      <w:pPr>
        <w:spacing w:after="120"/>
      </w:pPr>
    </w:p>
    <w:p>
      <w:pPr>
        <w:spacing w:after="0" w:line="480"/>
        <w:jc w:val="left"/>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comorbidity-adjusted</w:t>
      </w:r>
      <w:r>
        <w:rPr>
          <w:rFonts w:ascii="Times New Roman" w:cs="Times New Roman" w:eastAsia="Times New Roman" w:hAnsi="Times New Roman"/>
          <w:sz w:val="24"/>
          <w:szCs w:val="24"/>
        </w:rPr>
        <w:t xml:space="preserve"> analysis addresses the covariates matching did not balance. Obstructive sleep apnoea (29.5% versus 15.4%, SMD 0.342), polycystic ovary syndrome (0.171) and hypertension (0.146) all exceeded the balance threshold. Confounding requires both imbalance and association with the outcome, and only OSA met both (HR for seizure 1.87, 1.29–2.71, p &lt; 0.001); PCOS was imbalanced but unrelated to the outcome (1.14, 0.64–2.02, p = 0.65) and cannot confound. Adjusting for all three moves the estimate from 2.28 to </w:t>
      </w:r>
      <w:r>
        <w:rPr>
          <w:rFonts w:ascii="Times New Roman" w:cs="Times New Roman" w:eastAsia="Times New Roman" w:hAnsi="Times New Roman"/>
          <w:b/>
          <w:bCs/>
          <w:sz w:val="24"/>
          <w:szCs w:val="24"/>
        </w:rPr>
        <w:t xml:space="preserve">2.11 (1.48–3.01)</w:t>
      </w:r>
      <w:r>
        <w:rPr>
          <w:rFonts w:ascii="Times New Roman" w:cs="Times New Roman" w:eastAsia="Times New Roman" w:hAnsi="Times New Roman"/>
          <w:sz w:val="24"/>
          <w:szCs w:val="24"/>
        </w:rPr>
        <w:t xml:space="preserve">, a reduction of 7.5%, driven entirely by OSA. Adding pre-index visits returns it to 2.33 (1.58–3.45). Sleep apnoea therefore accounts for a small part of the association and not for its existence. </w:t>
      </w:r>
      <w:r>
        <w:rPr>
          <w:rFonts w:ascii="Times New Roman" w:cs="Times New Roman" w:eastAsia="Times New Roman" w:hAnsi="Times New Roman"/>
          <w:i/>
          <w:iCs/>
          <w:sz w:val="24"/>
          <w:szCs w:val="24"/>
        </w:rPr>
        <w:t xml:space="preserve">(Tables Z_T04, Z_T05)</w:t>
      </w:r>
    </w:p>
    <w:p>
      <w:pPr>
        <w:spacing w:after="120"/>
      </w:pPr>
    </w:p>
    <w:p>
      <w:pPr>
        <w:spacing w:after="0" w:line="480"/>
        <w:jc w:val="left"/>
      </w:pPr>
      <w:r>
        <w:rPr>
          <w:rFonts w:ascii="Times New Roman" w:cs="Times New Roman" w:eastAsia="Times New Roman" w:hAnsi="Times New Roman"/>
          <w:sz w:val="24"/>
          <w:szCs w:val="24"/>
        </w:rPr>
        <w:t xml:space="preserve">Death was less frequent in the IIH arm (cause-specific HR 0.61, 0.29–1.29), so the competing risk does not operate in a direction that would inflate the seizure estimate. </w:t>
      </w:r>
      <w:r>
        <w:rPr>
          <w:rFonts w:ascii="Times New Roman" w:cs="Times New Roman" w:eastAsia="Times New Roman" w:hAnsi="Times New Roman"/>
          <w:i/>
          <w:iCs/>
          <w:sz w:val="24"/>
          <w:szCs w:val="24"/>
        </w:rPr>
        <w:t xml:space="preserve">(Table SAP_T4)</w:t>
      </w:r>
    </w:p>
    <w:p>
      <w:pPr>
        <w:spacing w:after="120"/>
      </w:pPr>
    </w:p>
    <w:p>
      <w:pPr>
        <w:pStyle w:val="Heading3"/>
        <w:spacing w:after="140" w:before="280"/>
      </w:pPr>
      <w:r>
        <w:rPr>
          <w:rFonts w:ascii="Times New Roman" w:cs="Times New Roman" w:eastAsia="Times New Roman" w:hAnsi="Times New Roman"/>
          <w:b/>
          <w:bCs/>
          <w:sz w:val="24"/>
          <w:szCs w:val="24"/>
        </w:rPr>
        <w:t xml:space="preserve">Secondary outcome</w:t>
      </w:r>
    </w:p>
    <w:p>
      <w:pPr>
        <w:spacing w:after="0" w:line="480"/>
        <w:jc w:val="left"/>
      </w:pPr>
      <w:r>
        <w:rPr>
          <w:rFonts w:ascii="Times New Roman" w:cs="Times New Roman" w:eastAsia="Times New Roman" w:hAnsi="Times New Roman"/>
          <w:sz w:val="24"/>
          <w:szCs w:val="24"/>
        </w:rPr>
        <w:t xml:space="preserve">Among patients with any event, </w:t>
      </w:r>
      <w:r>
        <w:rPr>
          <w:rFonts w:ascii="Times New Roman" w:cs="Times New Roman" w:eastAsia="Times New Roman" w:hAnsi="Times New Roman"/>
          <w:b/>
          <w:bCs/>
          <w:sz w:val="24"/>
          <w:szCs w:val="24"/>
        </w:rPr>
        <w:t xml:space="preserve">41 of 66 IIH events (62%, 95% CI 49–74) were recurrent seizures or epilepsy</w:t>
      </w:r>
      <w:r>
        <w:rPr>
          <w:rFonts w:ascii="Times New Roman" w:cs="Times New Roman" w:eastAsia="Times New Roman" w:hAnsi="Times New Roman"/>
          <w:sz w:val="24"/>
          <w:szCs w:val="24"/>
        </w:rPr>
        <w:t xml:space="preserve">, compared with 32 of 63 comparator events (51%, 38–64) (Figure 3). The difference is compatible with chance at this sample size, and we do not claim that events in IIH patients were more severe. </w:t>
      </w:r>
      <w:r>
        <w:rPr>
          <w:rFonts w:ascii="Times New Roman" w:cs="Times New Roman" w:eastAsia="Times New Roman" w:hAnsi="Times New Roman"/>
          <w:i/>
          <w:iCs/>
          <w:sz w:val="24"/>
          <w:szCs w:val="24"/>
        </w:rPr>
        <w:t xml:space="preserve">(Table K_T39)</w:t>
      </w:r>
    </w:p>
    <w:p>
      <w:pPr>
        <w:spacing w:after="120"/>
      </w:pPr>
    </w:p>
    <w:p>
      <w:pPr>
        <w:pStyle w:val="Heading3"/>
        <w:spacing w:after="140" w:before="280"/>
      </w:pPr>
      <w:r>
        <w:rPr>
          <w:rFonts w:ascii="Times New Roman" w:cs="Times New Roman" w:eastAsia="Times New Roman" w:hAnsi="Times New Roman"/>
          <w:b/>
          <w:bCs/>
          <w:sz w:val="24"/>
          <w:szCs w:val="24"/>
        </w:rPr>
        <w:t xml:space="preserve">Subgroups</w:t>
      </w:r>
    </w:p>
    <w:p>
      <w:pPr>
        <w:spacing w:after="0" w:line="480"/>
        <w:jc w:val="left"/>
      </w:pPr>
      <w:r>
        <w:rPr>
          <w:rFonts w:ascii="Times New Roman" w:cs="Times New Roman" w:eastAsia="Times New Roman" w:hAnsi="Times New Roman"/>
          <w:sz w:val="24"/>
          <w:szCs w:val="24"/>
        </w:rPr>
        <w:t xml:space="preserve">No interaction reached significance: age &lt;35 versus ≥35 (1.90 versus 2.72, interaction p = 0.31), BMI &lt;35 versus ≥35 (2.86 versus 1.87, p = 0.26), and sex (female 1.98, male 5.12, p = 0.055). The male estimate rests on 13 and 7 events and should not be interpreted as evidence of effect modification. </w:t>
      </w:r>
      <w:r>
        <w:rPr>
          <w:rFonts w:ascii="Times New Roman" w:cs="Times New Roman" w:eastAsia="Times New Roman" w:hAnsi="Times New Roman"/>
          <w:i/>
          <w:iCs/>
          <w:sz w:val="24"/>
          <w:szCs w:val="24"/>
        </w:rPr>
        <w:t xml:space="preserve">(Table SAP_T5)</w:t>
      </w:r>
    </w:p>
    <w:p>
      <w:pPr>
        <w:spacing w:after="120"/>
      </w:pPr>
    </w:p>
    <w:p>
      <w:pPr>
        <w:pStyle w:val="Heading3"/>
        <w:spacing w:after="140" w:before="280"/>
      </w:pPr>
      <w:r>
        <w:rPr>
          <w:rFonts w:ascii="Times New Roman" w:cs="Times New Roman" w:eastAsia="Times New Roman" w:hAnsi="Times New Roman"/>
          <w:b/>
          <w:bCs/>
          <w:sz w:val="24"/>
          <w:szCs w:val="24"/>
        </w:rPr>
        <w:t xml:space="preserve">Differential detection</w:t>
      </w:r>
    </w:p>
    <w:p>
      <w:pPr>
        <w:spacing w:after="0" w:line="480"/>
        <w:jc w:val="left"/>
      </w:pPr>
      <w:r>
        <w:rPr>
          <w:rFonts w:ascii="Times New Roman" w:cs="Times New Roman" w:eastAsia="Times New Roman" w:hAnsi="Times New Roman"/>
          <w:b/>
          <w:bCs/>
          <w:sz w:val="24"/>
          <w:szCs w:val="24"/>
        </w:rPr>
        <w:t xml:space="preserve">Surveillance is unequal.</w:t>
      </w:r>
      <w:r>
        <w:rPr>
          <w:rFonts w:ascii="Times New Roman" w:cs="Times New Roman" w:eastAsia="Times New Roman" w:hAnsi="Times New Roman"/>
          <w:sz w:val="24"/>
          <w:szCs w:val="24"/>
        </w:rPr>
        <w:t xml:space="preserve"> Post-index encounter rates were higher in the IIH arm in every clinician-initiated setting: all clinical visits 2.70 (2.68–2.73), office or clinic 2.92 (2.88–2.97), procedural or diagnostic 2.32 (2.28–2.37), hospital or inpatient 2.27 (2.22–2.33), emergency department 5.74 (4.96–6.65). They were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meaningfully higher in the one setting that is not clinician-initiated: laboratory encounters, 1.14 (1.02–1.28). </w:t>
      </w:r>
      <w:r>
        <w:rPr>
          <w:rFonts w:ascii="Times New Roman" w:cs="Times New Roman" w:eastAsia="Times New Roman" w:hAnsi="Times New Roman"/>
          <w:i/>
          <w:iCs/>
          <w:sz w:val="24"/>
          <w:szCs w:val="24"/>
        </w:rPr>
        <w:t xml:space="preserve">(Table K_T54)</w:t>
      </w:r>
    </w:p>
    <w:p>
      <w:pPr>
        <w:spacing w:after="120"/>
      </w:pPr>
    </w:p>
    <w:p>
      <w:pPr>
        <w:spacing w:after="0" w:line="480"/>
        <w:jc w:val="left"/>
      </w:pPr>
      <w:r>
        <w:rPr>
          <w:rFonts w:ascii="Times New Roman" w:cs="Times New Roman" w:eastAsia="Times New Roman" w:hAnsi="Times New Roman"/>
          <w:b/>
          <w:bCs/>
          <w:sz w:val="24"/>
          <w:szCs w:val="24"/>
        </w:rPr>
        <w:t xml:space="preserve">Ascertainment differs, and the negative controls show it.</w:t>
      </w:r>
      <w:r>
        <w:rPr>
          <w:rFonts w:ascii="Times New Roman" w:cs="Times New Roman" w:eastAsia="Times New Roman" w:hAnsi="Times New Roman"/>
          <w:sz w:val="24"/>
          <w:szCs w:val="24"/>
        </w:rPr>
        <w:t xml:space="preserve"> All eleven controls were more prevalent in the IIH arm before the index date (ratios 1.6 to 5.0, all p &lt; 0.01), so none satisfied the pre-specified balance criterion and the panel cannot be used to claim specificity. On unadjusted rate ratios the seizure outcome (2.15, 1.52–3.04) ranked </w:t>
      </w:r>
      <w:r>
        <w:rPr>
          <w:rFonts w:ascii="Times New Roman" w:cs="Times New Roman" w:eastAsia="Times New Roman" w:hAnsi="Times New Roman"/>
          <w:b/>
          <w:bCs/>
          <w:sz w:val="24"/>
          <w:szCs w:val="24"/>
        </w:rPr>
        <w:t xml:space="preserve">eighth of twelve</w:t>
      </w:r>
      <w:r>
        <w:rPr>
          <w:rFonts w:ascii="Times New Roman" w:cs="Times New Roman" w:eastAsia="Times New Roman" w:hAnsi="Times New Roman"/>
          <w:sz w:val="24"/>
          <w:szCs w:val="24"/>
        </w:rPr>
        <w:t xml:space="preserve"> among these outcomes: laceration (4.31), otitis (3.06), renal stone (3.00), herpes zoster (2.92), carpal tunnel (2.90) and sprain (2.44) all exceeded it. </w:t>
      </w:r>
      <w:r>
        <w:rPr>
          <w:rFonts w:ascii="Times New Roman" w:cs="Times New Roman" w:eastAsia="Times New Roman" w:hAnsi="Times New Roman"/>
          <w:i/>
          <w:iCs/>
          <w:sz w:val="24"/>
          <w:szCs w:val="24"/>
        </w:rPr>
        <w:t xml:space="preserve">(Tables K_T42, K_T45, K_T55)</w:t>
      </w:r>
    </w:p>
    <w:p>
      <w:pPr>
        <w:spacing w:after="120"/>
      </w:pPr>
    </w:p>
    <w:p>
      <w:pPr>
        <w:spacing w:after="0" w:line="480"/>
        <w:jc w:val="left"/>
      </w:pPr>
      <w:r>
        <w:rPr>
          <w:rFonts w:ascii="Times New Roman" w:cs="Times New Roman" w:eastAsia="Times New Roman" w:hAnsi="Times New Roman"/>
          <w:b/>
          <w:bCs/>
          <w:sz w:val="24"/>
          <w:szCs w:val="24"/>
        </w:rPr>
        <w:t xml:space="preserve">Calibration does not exclude a detection explanation.</w:t>
      </w:r>
      <w:r>
        <w:rPr>
          <w:rFonts w:ascii="Times New Roman" w:cs="Times New Roman" w:eastAsia="Times New Roman" w:hAnsi="Times New Roman"/>
          <w:sz w:val="24"/>
          <w:szCs w:val="24"/>
        </w:rPr>
        <w:t xml:space="preserve"> Regressing the observed log hazard ratio on the log baseline ratio across the eleven controls gave r = 0.66 (p = 0.026, slope 0.84, SE 0.31) and a predicted detection-attributable hazard ratio at baseline balance of </w:t>
      </w:r>
      <w:r>
        <w:rPr>
          <w:rFonts w:ascii="Times New Roman" w:cs="Times New Roman" w:eastAsia="Times New Roman" w:hAnsi="Times New Roman"/>
          <w:b/>
          <w:bCs/>
          <w:sz w:val="24"/>
          <w:szCs w:val="24"/>
        </w:rPr>
        <w:t xml:space="preserve">1.04, 95% CI 0.37–2.90</w:t>
      </w:r>
      <w:r>
        <w:rPr>
          <w:rFonts w:ascii="Times New Roman" w:cs="Times New Roman" w:eastAsia="Times New Roman" w:hAnsi="Times New Roman"/>
          <w:sz w:val="24"/>
          <w:szCs w:val="24"/>
        </w:rPr>
        <w:t xml:space="preserve"> (Figure 4). That interval </w:t>
      </w:r>
      <w:r>
        <w:rPr>
          <w:rFonts w:ascii="Times New Roman" w:cs="Times New Roman" w:eastAsia="Times New Roman" w:hAnsi="Times New Roman"/>
          <w:b/>
          <w:bCs/>
          <w:sz w:val="24"/>
          <w:szCs w:val="24"/>
        </w:rPr>
        <w:t xml:space="preserve">includes the observed estimate of 2.28</w:t>
      </w:r>
      <w:r>
        <w:rPr>
          <w:rFonts w:ascii="Times New Roman" w:cs="Times New Roman" w:eastAsia="Times New Roman" w:hAnsi="Times New Roman"/>
          <w:sz w:val="24"/>
          <w:szCs w:val="24"/>
        </w:rPr>
        <w:t xml:space="preserve">. On this analysis alone the association cannot be formally distinguished from a detection artefact. </w:t>
      </w:r>
      <w:r>
        <w:rPr>
          <w:rFonts w:ascii="Times New Roman" w:cs="Times New Roman" w:eastAsia="Times New Roman" w:hAnsi="Times New Roman"/>
          <w:i/>
          <w:iCs/>
          <w:sz w:val="24"/>
          <w:szCs w:val="24"/>
        </w:rPr>
        <w:t xml:space="preserve">(Table K_T48)</w:t>
      </w:r>
    </w:p>
    <w:p>
      <w:pPr>
        <w:spacing w:after="120"/>
      </w:pPr>
    </w:p>
    <w:p>
      <w:pPr>
        <w:spacing w:after="0" w:line="480"/>
        <w:jc w:val="left"/>
      </w:pPr>
      <w:r>
        <w:rPr>
          <w:rFonts w:ascii="Times New Roman" w:cs="Times New Roman" w:eastAsia="Times New Roman" w:hAnsi="Times New Roman"/>
          <w:b/>
          <w:bCs/>
          <w:sz w:val="24"/>
          <w:szCs w:val="24"/>
        </w:rPr>
        <w:t xml:space="preserve">The direction of response separates the outcomes.</w:t>
      </w:r>
      <w:r>
        <w:rPr>
          <w:rFonts w:ascii="Times New Roman" w:cs="Times New Roman" w:eastAsia="Times New Roman" w:hAnsi="Times New Roman"/>
          <w:sz w:val="24"/>
          <w:szCs w:val="24"/>
        </w:rPr>
        <w:t xml:space="preserve"> Across six independent measures of pre-index healthcare contact, every one of the eleven negative controls moved </w:t>
      </w:r>
      <w:r>
        <w:rPr>
          <w:rFonts w:ascii="Times New Roman" w:cs="Times New Roman" w:eastAsia="Times New Roman" w:hAnsi="Times New Roman"/>
          <w:b/>
          <w:bCs/>
          <w:sz w:val="24"/>
          <w:szCs w:val="24"/>
        </w:rPr>
        <w:t xml:space="preserve">toward</w:t>
      </w:r>
      <w:r>
        <w:rPr>
          <w:rFonts w:ascii="Times New Roman" w:cs="Times New Roman" w:eastAsia="Times New Roman" w:hAnsi="Times New Roman"/>
          <w:sz w:val="24"/>
          <w:szCs w:val="24"/>
        </w:rPr>
        <w:t xml:space="preserve"> the null under adjustment — 66 of 66 outcome-by-measure combinations, median change −29% (range −46% to −3%) — whereas the seizure estimate moved </w:t>
      </w:r>
      <w:r>
        <w:rPr>
          <w:rFonts w:ascii="Times New Roman" w:cs="Times New Roman" w:eastAsia="Times New Roman" w:hAnsi="Times New Roman"/>
          <w:b/>
          <w:bCs/>
          <w:sz w:val="24"/>
          <w:szCs w:val="24"/>
        </w:rPr>
        <w:t xml:space="preserve">away</w:t>
      </w:r>
      <w:r>
        <w:rPr>
          <w:rFonts w:ascii="Times New Roman" w:cs="Times New Roman" w:eastAsia="Times New Roman" w:hAnsi="Times New Roman"/>
          <w:sz w:val="24"/>
          <w:szCs w:val="24"/>
        </w:rPr>
        <w:t xml:space="preserve"> from the null under all six (+7.8% to +28.6%) (Figure 5). An outcome generated purely by differential detection would be expected to behave as the controls did. </w:t>
      </w:r>
      <w:r>
        <w:rPr>
          <w:rFonts w:ascii="Times New Roman" w:cs="Times New Roman" w:eastAsia="Times New Roman" w:hAnsi="Times New Roman"/>
          <w:i/>
          <w:iCs/>
          <w:sz w:val="24"/>
          <w:szCs w:val="24"/>
        </w:rPr>
        <w:t xml:space="preserve">(Table K_T50)</w:t>
      </w:r>
    </w:p>
    <w:p>
      <w:pPr>
        <w:spacing w:after="120"/>
      </w:pPr>
    </w:p>
    <w:p>
      <w:pPr>
        <w:spacing w:after="0" w:line="480"/>
        <w:jc w:val="left"/>
      </w:pPr>
      <w:r>
        <w:rPr>
          <w:rFonts w:ascii="Times New Roman" w:cs="Times New Roman" w:eastAsia="Times New Roman" w:hAnsi="Times New Roman"/>
          <w:b/>
          <w:bCs/>
          <w:sz w:val="24"/>
          <w:szCs w:val="24"/>
        </w:rPr>
        <w:t xml:space="preserve">Post-index contact is a collider, demonstrably.</w:t>
      </w:r>
      <w:r>
        <w:rPr>
          <w:rFonts w:ascii="Times New Roman" w:cs="Times New Roman" w:eastAsia="Times New Roman" w:hAnsi="Times New Roman"/>
          <w:sz w:val="24"/>
          <w:szCs w:val="24"/>
        </w:rPr>
        <w:t xml:space="preserve"> Adjusting for post-index contact drove the seizure estimate to 1.25 (0.85–1.85) — but it also drove the upper respiratory infection control to 0.75 (0.61–0.92) and the fracture control to 0.39 (0.23–0.67), both implausibly protective. Adjustment that makes IIH appear to protect against fractures is not removing bias; it is introducing it. </w:t>
      </w:r>
      <w:r>
        <w:rPr>
          <w:rFonts w:ascii="Times New Roman" w:cs="Times New Roman" w:eastAsia="Times New Roman" w:hAnsi="Times New Roman"/>
          <w:i/>
          <w:iCs/>
          <w:sz w:val="24"/>
          <w:szCs w:val="24"/>
        </w:rPr>
        <w:t xml:space="preserve">(Table K_T52)</w:t>
      </w:r>
    </w:p>
    <w:p>
      <w:pPr>
        <w:spacing w:after="120"/>
      </w:pPr>
    </w:p>
    <w:p>
      <w:pPr>
        <w:spacing w:after="0" w:line="480"/>
        <w:jc w:val="left"/>
      </w:pPr>
      <w:r>
        <w:rPr>
          <w:rFonts w:ascii="Times New Roman" w:cs="Times New Roman" w:eastAsia="Times New Roman" w:hAnsi="Times New Roman"/>
          <w:b/>
          <w:bCs/>
          <w:sz w:val="24"/>
          <w:szCs w:val="24"/>
        </w:rPr>
        <w:t xml:space="preserve">Quantitative bias analysis.</w:t>
      </w:r>
      <w:r>
        <w:rPr>
          <w:rFonts w:ascii="Times New Roman" w:cs="Times New Roman" w:eastAsia="Times New Roman" w:hAnsi="Times New Roman"/>
          <w:sz w:val="24"/>
          <w:szCs w:val="24"/>
        </w:rPr>
        <w:t xml:space="preserve"> An unmeasured mechanism would need to be associated with both IIH status and seizure ascertainment by at least </w:t>
      </w:r>
      <w:r>
        <w:rPr>
          <w:rFonts w:ascii="Times New Roman" w:cs="Times New Roman" w:eastAsia="Times New Roman" w:hAnsi="Times New Roman"/>
          <w:b/>
          <w:bCs/>
          <w:sz w:val="24"/>
          <w:szCs w:val="24"/>
        </w:rPr>
        <w:t xml:space="preserve">3.99-fold each</w:t>
      </w:r>
      <w:r>
        <w:rPr>
          <w:rFonts w:ascii="Times New Roman" w:cs="Times New Roman" w:eastAsia="Times New Roman" w:hAnsi="Times New Roman"/>
          <w:sz w:val="24"/>
          <w:szCs w:val="24"/>
        </w:rPr>
        <w:t xml:space="preserve">, conditional on the matched covariates, to reduce the hazard ratio to unity, and by at least 2.62-fold to move the interval to include unity. Five of the six measured surveillance channels fall below the first threshold. The exception is emergency department contact at 5.74, which exceeds it. </w:t>
      </w:r>
      <w:r>
        <w:rPr>
          <w:rFonts w:ascii="Times New Roman" w:cs="Times New Roman" w:eastAsia="Times New Roman" w:hAnsi="Times New Roman"/>
          <w:i/>
          <w:iCs/>
          <w:sz w:val="24"/>
          <w:szCs w:val="24"/>
        </w:rPr>
        <w:t xml:space="preserve">(Table K_T56)</w:t>
      </w:r>
    </w:p>
    <w:p>
      <w:pPr>
        <w:spacing w:after="120"/>
      </w:pPr>
    </w:p>
    <w:p>
      <w:pPr>
        <w:pStyle w:val="Heading2"/>
        <w:pageBreakBefore/>
        <w:spacing w:after="180" w:before="360"/>
      </w:pPr>
      <w:r>
        <w:rPr>
          <w:rFonts w:ascii="Times New Roman" w:cs="Times New Roman" w:eastAsia="Times New Roman" w:hAnsi="Times New Roman"/>
          <w:b/>
          <w:bCs/>
          <w:sz w:val="28"/>
          <w:szCs w:val="28"/>
        </w:rPr>
        <w:t xml:space="preserve">Discussion</w:t>
      </w:r>
    </w:p>
    <w:p>
      <w:pPr>
        <w:spacing w:after="0" w:line="480"/>
        <w:jc w:val="left"/>
      </w:pPr>
      <w:r>
        <w:rPr>
          <w:rFonts w:ascii="Times New Roman" w:cs="Times New Roman" w:eastAsia="Times New Roman" w:hAnsi="Times New Roman"/>
          <w:sz w:val="24"/>
          <w:szCs w:val="24"/>
        </w:rPr>
        <w:t xml:space="preserve">In a matched cohort with symmetric ascertainment, IIH was associated with roughly a doubling of the rate of incident seizures and epilepsy: 14.5 versus 6.7 per 1,000 person-years, hazard ratio 2.28, an absolute three-year risk difference of 2.1 percentage points. The estimate was insensitive to how the outcome was defined, to how encounters were counted, to when follow-up began, to the competing risk of death, and to the analytic model.</w:t>
      </w:r>
    </w:p>
    <w:p>
      <w:pPr>
        <w:spacing w:after="120"/>
      </w:pPr>
    </w:p>
    <w:p>
      <w:pPr>
        <w:spacing w:after="0" w:line="480"/>
        <w:jc w:val="left"/>
      </w:pPr>
      <w:r>
        <w:rPr>
          <w:rFonts w:ascii="Times New Roman" w:cs="Times New Roman" w:eastAsia="Times New Roman" w:hAnsi="Times New Roman"/>
          <w:sz w:val="24"/>
          <w:szCs w:val="24"/>
        </w:rPr>
        <w:t xml:space="preserve">The central interpretive question is not whether the association is statistically robust — it is — but whether it is real. Patients with IIH are seen more often than matched comparators, and an outcome that is ascertained through contact will be found more often in people who are seen more often.</w:t>
      </w:r>
    </w:p>
    <w:p>
      <w:pPr>
        <w:spacing w:after="120"/>
      </w:pPr>
    </w:p>
    <w:p>
      <w:pPr>
        <w:spacing w:after="0" w:line="480"/>
        <w:jc w:val="left"/>
      </w:pPr>
      <w:r>
        <w:rPr>
          <w:rFonts w:ascii="Times New Roman" w:cs="Times New Roman" w:eastAsia="Times New Roman" w:hAnsi="Times New Roman"/>
          <w:sz w:val="24"/>
          <w:szCs w:val="24"/>
        </w:rPr>
        <w:t xml:space="preserve">Three observations argue that detection does not account for the whole of the association. First, empirical calibration across eleven negative controls predicts a detection-attributable hazard ratio of 1.04: the central estimate of what differential ascertainment alone should produce is essentially null, and the observed 2.28 sits at the extreme upper margin of its interval. Second, and more informative than magnitude, the direction of response to healthcare-seeking adjustment separates the outcomes completely — 66 of 66 control-by-measure combinations move toward the null while seizure moves away in all six. Third, surveillance is elevated in every clinician-initiated setting but not in laboratory encounters, the one channel a clinician does not initiate, and the association persists.</w:t>
      </w:r>
    </w:p>
    <w:p>
      <w:pPr>
        <w:spacing w:after="120"/>
      </w:pPr>
    </w:p>
    <w:p>
      <w:pPr>
        <w:spacing w:after="0" w:line="480"/>
        <w:jc w:val="left"/>
      </w:pPr>
      <w:r>
        <w:rPr>
          <w:rFonts w:ascii="Times New Roman" w:cs="Times New Roman" w:eastAsia="Times New Roman" w:hAnsi="Times New Roman"/>
          <w:sz w:val="24"/>
          <w:szCs w:val="24"/>
        </w:rPr>
        <w:t xml:space="preserve">Three observations cut the other way, and we state them as plainly. The calibration interval includes the observed estimate. On unadjusted rate ratios the seizure outcome does not stand apart from the negative controls but sits eighth of twelve among them. And emergency department contact, at 5.74, exceeds the E-value threshold in precisely the setting where a first seizure is most likely to be ascertained. The E-value is a threshold on associations conditional on the measured covariates, and emergency attendance in this cohort is substantially driven by headache presentations for which the arms were matched — but that is an argument from mechanism, not a measurement, and it does not resolve the concern.</w:t>
      </w:r>
    </w:p>
    <w:p>
      <w:pPr>
        <w:spacing w:after="120"/>
      </w:pPr>
    </w:p>
    <w:p>
      <w:pPr>
        <w:spacing w:after="0" w:line="480"/>
        <w:jc w:val="left"/>
      </w:pPr>
      <w:r>
        <w:rPr>
          <w:rFonts w:ascii="Times New Roman" w:cs="Times New Roman" w:eastAsia="Times New Roman" w:hAnsi="Times New Roman"/>
          <w:sz w:val="24"/>
          <w:szCs w:val="24"/>
        </w:rPr>
        <w:t xml:space="preserve">Our reading is therefore that differential detection is </w:t>
      </w:r>
      <w:r>
        <w:rPr>
          <w:rFonts w:ascii="Times New Roman" w:cs="Times New Roman" w:eastAsia="Times New Roman" w:hAnsi="Times New Roman"/>
          <w:b/>
          <w:bCs/>
          <w:sz w:val="24"/>
          <w:szCs w:val="24"/>
        </w:rPr>
        <w:t xml:space="preserve">unlikely to account for the entire association but cannot be excluded as a partial contributor</w:t>
      </w:r>
      <w:r>
        <w:rPr>
          <w:rFonts w:ascii="Times New Roman" w:cs="Times New Roman" w:eastAsia="Times New Roman" w:hAnsi="Times New Roman"/>
          <w:sz w:val="24"/>
          <w:szCs w:val="24"/>
        </w:rPr>
        <w:t xml:space="preserve">. That conclusion rests on the directional evidence and the quantitative bias analysis, not on the calibration interval, and it is an interpretation rather than a demonstration.</w:t>
      </w:r>
    </w:p>
    <w:p>
      <w:pPr>
        <w:spacing w:after="120"/>
      </w:pPr>
    </w:p>
    <w:p>
      <w:pPr>
        <w:spacing w:after="0" w:line="480"/>
        <w:jc w:val="left"/>
      </w:pPr>
      <w:r>
        <w:rPr>
          <w:rFonts w:ascii="Times New Roman" w:cs="Times New Roman" w:eastAsia="Times New Roman" w:hAnsi="Times New Roman"/>
          <w:i/>
          <w:iCs/>
          <w:color w:val="8B5E00"/>
          <w:sz w:val="24"/>
          <w:szCs w:val="24"/>
        </w:rPr>
        <w:t xml:space="preserve">«Authors: a paragraph situating these findings against the prior literature belongs here, once references are selected. `[CITE: prior cohort and case-control studies of seizure risk in IIH]`»</w:t>
      </w:r>
    </w:p>
    <w:p>
      <w:pPr>
        <w:spacing w:after="120"/>
      </w:pPr>
    </w:p>
    <w:p>
      <w:pPr>
        <w:spacing w:after="0" w:line="480"/>
        <w:jc w:val="left"/>
      </w:pPr>
      <w:r>
        <w:rPr>
          <w:rFonts w:ascii="Times New Roman" w:cs="Times New Roman" w:eastAsia="Times New Roman" w:hAnsi="Times New Roman"/>
          <w:sz w:val="24"/>
          <w:szCs w:val="24"/>
        </w:rPr>
        <w:t xml:space="preserve">If the association is causal in part, the mechanism is not established here. Skull base meningoceles and encephaloceles, cortical irritation from chronically raised pressure, and shared risk factors such as obesity and obstructive sleep apnoea are each plausible and none is tested by these data. </w:t>
      </w:r>
      <w:r>
        <w:rPr>
          <w:rFonts w:ascii="Consolas" w:cs="Consolas" w:eastAsia="Consolas" w:hAnsi="Consolas"/>
          <w:sz w:val="20"/>
          <w:szCs w:val="20"/>
        </w:rPr>
        <w:t xml:space="preserve">[CITE: candidate mechanisms]</w:t>
      </w:r>
    </w:p>
    <w:p>
      <w:pPr>
        <w:spacing w:after="120"/>
      </w:pPr>
    </w:p>
    <w:p>
      <w:pPr>
        <w:pStyle w:val="Heading3"/>
        <w:spacing w:after="140" w:before="280"/>
      </w:pPr>
      <w:r>
        <w:rPr>
          <w:rFonts w:ascii="Times New Roman" w:cs="Times New Roman" w:eastAsia="Times New Roman" w:hAnsi="Times New Roman"/>
          <w:b/>
          <w:bCs/>
          <w:sz w:val="24"/>
          <w:szCs w:val="24"/>
        </w:rPr>
        <w:t xml:space="preserve">Clinical implications</w:t>
      </w:r>
    </w:p>
    <w:p>
      <w:pPr>
        <w:spacing w:after="0" w:line="480"/>
        <w:jc w:val="left"/>
      </w:pPr>
      <w:r>
        <w:rPr>
          <w:rFonts w:ascii="Times New Roman" w:cs="Times New Roman" w:eastAsia="Times New Roman" w:hAnsi="Times New Roman"/>
          <w:sz w:val="24"/>
          <w:szCs w:val="24"/>
        </w:rPr>
        <w:t xml:space="preserve">The absolute risk is low — about 3.8% over three years, against 1.7% in matched comparators — and does not justify screening electroencephalography or prophylactic treatment. What it supports is a lower threshold for taking seizure symptoms seriously in a patient with IIH, and for investigating a first event rather than attributing it to the headache disorder.</w:t>
      </w:r>
    </w:p>
    <w:p>
      <w:pPr>
        <w:spacing w:after="120"/>
      </w:pPr>
    </w:p>
    <w:p>
      <w:pPr>
        <w:pStyle w:val="Heading2"/>
        <w:spacing w:after="180" w:before="360"/>
      </w:pPr>
      <w:r>
        <w:rPr>
          <w:rFonts w:ascii="Times New Roman" w:cs="Times New Roman" w:eastAsia="Times New Roman" w:hAnsi="Times New Roman"/>
          <w:b/>
          <w:bCs/>
          <w:sz w:val="28"/>
          <w:szCs w:val="28"/>
        </w:rPr>
        <w:t xml:space="preserve">Limitations</w:t>
      </w:r>
    </w:p>
    <w:p>
      <w:pPr>
        <w:spacing w:after="0" w:line="480"/>
        <w:jc w:val="left"/>
      </w:pPr>
      <w:r>
        <w:rPr>
          <w:rFonts w:ascii="Times New Roman" w:cs="Times New Roman" w:eastAsia="Times New Roman" w:hAnsi="Times New Roman"/>
          <w:b/>
          <w:bCs/>
          <w:sz w:val="24"/>
          <w:szCs w:val="24"/>
        </w:rPr>
        <w:t xml:space="preserve">Differential ascertainment could not be excluded.</w:t>
      </w:r>
      <w:r>
        <w:rPr>
          <w:rFonts w:ascii="Times New Roman" w:cs="Times New Roman" w:eastAsia="Times New Roman" w:hAnsi="Times New Roman"/>
          <w:sz w:val="24"/>
          <w:szCs w:val="24"/>
        </w:rPr>
        <w:t xml:space="preserve"> It was assessed by five methods and is present in this data source: all eleven negative controls are imbalanced at baseline, and post-index surveillance is higher in every clinician-initiated setting. The calibration interval contains the observed estimate, and emergency department contact exceeds the E-value threshold. Our conclusion that detection does not explain the whole association is an interpretation supported by directional evidence, not a demonstration.</w:t>
      </w:r>
    </w:p>
    <w:p>
      <w:pPr>
        <w:spacing w:after="120"/>
      </w:pPr>
    </w:p>
    <w:p>
      <w:pPr>
        <w:spacing w:after="0" w:line="480"/>
        <w:jc w:val="left"/>
      </w:pPr>
      <w:r>
        <w:rPr>
          <w:rFonts w:ascii="Times New Roman" w:cs="Times New Roman" w:eastAsia="Times New Roman" w:hAnsi="Times New Roman"/>
          <w:b/>
          <w:bCs/>
          <w:sz w:val="24"/>
          <w:szCs w:val="24"/>
        </w:rPr>
        <w:t xml:space="preserve">The channels most specific to seizure ascertainment could not be measured.</w:t>
      </w:r>
      <w:r>
        <w:rPr>
          <w:rFonts w:ascii="Times New Roman" w:cs="Times New Roman" w:eastAsia="Times New Roman" w:hAnsi="Times New Roman"/>
          <w:sz w:val="24"/>
          <w:szCs w:val="24"/>
        </w:rPr>
        <w:t xml:space="preserve"> The encounter extract carries no specialty field — none of 171 encounter types names a department — so neurology and ophthalmology visit rates are not estimable. Imaging and electroencephalography are likewise unavailable as comparable measures: the radiology extract covers comparators only, and EEG is recorded for 393 IIH patients and no comparators.</w:t>
      </w:r>
    </w:p>
    <w:p>
      <w:pPr>
        <w:spacing w:after="120"/>
      </w:pPr>
    </w:p>
    <w:p>
      <w:pPr>
        <w:spacing w:after="0" w:line="480"/>
        <w:jc w:val="left"/>
      </w:pPr>
      <w:r>
        <w:rPr>
          <w:rFonts w:ascii="Times New Roman" w:cs="Times New Roman" w:eastAsia="Times New Roman" w:hAnsi="Times New Roman"/>
          <w:b/>
          <w:bCs/>
          <w:sz w:val="24"/>
          <w:szCs w:val="24"/>
        </w:rPr>
        <w:t xml:space="preserve">No active comparator.</w:t>
      </w:r>
      <w:r>
        <w:rPr>
          <w:rFonts w:ascii="Times New Roman" w:cs="Times New Roman" w:eastAsia="Times New Roman" w:hAnsi="Times New Roman"/>
          <w:sz w:val="24"/>
          <w:szCs w:val="24"/>
        </w:rPr>
        <w:t xml:space="preserve"> The comparator arm was drawn from the general clinical population rather than from a condition under equivalent specialist follow-up. An active comparator matched on reason for neurologic and neuro-ophthalmologic surveillance would equalise ascertainment by design rather than by adjustment, and is the analysis required to resolve the residual uncertainty. No single condition satisfies both requirements — comparable surveillance intensity and no established seizure association — so such a design would need to bracket the bias with two comparator arms failing in opposite directions (</w:t>
      </w:r>
      <w:r>
        <w:rPr>
          <w:rFonts w:ascii="Consolas" w:cs="Consolas" w:eastAsia="Consolas" w:hAnsi="Consolas"/>
          <w:sz w:val="20"/>
          <w:szCs w:val="20"/>
        </w:rPr>
        <w:t xml:space="preserve">report/ACTIVE_COMPARATOR_REQUEST.md</w:t>
      </w:r>
      <w:r>
        <w:rPr>
          <w:rFonts w:ascii="Times New Roman" w:cs="Times New Roman" w:eastAsia="Times New Roman" w:hAnsi="Times New Roman"/>
          <w:sz w:val="24"/>
          <w:szCs w:val="24"/>
        </w:rPr>
        <w:t xml:space="preserve">).</w:t>
      </w:r>
    </w:p>
    <w:p>
      <w:pPr>
        <w:spacing w:after="120"/>
      </w:pPr>
    </w:p>
    <w:p>
      <w:pPr>
        <w:spacing w:after="0" w:line="480"/>
        <w:jc w:val="left"/>
      </w:pPr>
      <w:r>
        <w:rPr>
          <w:rFonts w:ascii="Times New Roman" w:cs="Times New Roman" w:eastAsia="Times New Roman" w:hAnsi="Times New Roman"/>
          <w:b/>
          <w:bCs/>
          <w:sz w:val="24"/>
          <w:szCs w:val="24"/>
        </w:rPr>
        <w:t xml:space="preserve">Asymmetric eligibility screening.</w:t>
      </w:r>
      <w:r>
        <w:rPr>
          <w:rFonts w:ascii="Times New Roman" w:cs="Times New Roman" w:eastAsia="Times New Roman" w:hAnsi="Times New Roman"/>
          <w:sz w:val="24"/>
          <w:szCs w:val="24"/>
        </w:rPr>
        <w:t xml:space="preserve"> Comparators were required at selection to have follow-up beyond the washout; cases were not. The resulting orphaned comparators inflate the comparator denominator, and removing them attenuates the estimate from 2.28 to 2.06.</w:t>
      </w:r>
    </w:p>
    <w:p>
      <w:pPr>
        <w:spacing w:after="120"/>
      </w:pPr>
    </w:p>
    <w:p>
      <w:pPr>
        <w:spacing w:after="0" w:line="480"/>
        <w:jc w:val="left"/>
      </w:pPr>
      <w:r>
        <w:rPr>
          <w:rFonts w:ascii="Times New Roman" w:cs="Times New Roman" w:eastAsia="Times New Roman" w:hAnsi="Times New Roman"/>
          <w:b/>
          <w:bCs/>
          <w:sz w:val="24"/>
          <w:szCs w:val="24"/>
        </w:rPr>
        <w:t xml:space="preserve">Medication capture is not comparable between the arms.</w:t>
      </w:r>
      <w:r>
        <w:rPr>
          <w:rFonts w:ascii="Times New Roman" w:cs="Times New Roman" w:eastAsia="Times New Roman" w:hAnsi="Times New Roman"/>
          <w:sz w:val="24"/>
          <w:szCs w:val="24"/>
        </w:rPr>
        <w:t xml:space="preserve"> The case file records inpatient administrations; the comparator file records outpatient prescriptions, and outpatient prescribing for the IIH arm was not obtainable. Chronic outpatient therapy in the IIH arm is under-captured. Removing the medication channel entirely leaves the estimate at 1.93 (1.34–2.77).</w:t>
      </w:r>
    </w:p>
    <w:p>
      <w:pPr>
        <w:spacing w:after="120"/>
      </w:pPr>
    </w:p>
    <w:p>
      <w:pPr>
        <w:spacing w:after="0" w:line="480"/>
        <w:jc w:val="left"/>
      </w:pPr>
      <w:r>
        <w:rPr>
          <w:rFonts w:ascii="Times New Roman" w:cs="Times New Roman" w:eastAsia="Times New Roman" w:hAnsi="Times New Roman"/>
          <w:b/>
          <w:bCs/>
          <w:sz w:val="24"/>
          <w:szCs w:val="24"/>
        </w:rPr>
        <w:t xml:space="preserve">Race could not be used.</w:t>
      </w:r>
      <w:r>
        <w:rPr>
          <w:rFonts w:ascii="Times New Roman" w:cs="Times New Roman" w:eastAsia="Times New Roman" w:hAnsi="Times New Roman"/>
          <w:sz w:val="24"/>
          <w:szCs w:val="24"/>
        </w:rPr>
        <w:t xml:space="preserve"> It is absent for every IIH case and therefore never constrained the match, despite being specified.</w:t>
      </w:r>
    </w:p>
    <w:p>
      <w:pPr>
        <w:spacing w:after="120"/>
      </w:pPr>
    </w:p>
    <w:p>
      <w:pPr>
        <w:spacing w:after="0" w:line="480"/>
        <w:jc w:val="left"/>
      </w:pPr>
      <w:r>
        <w:rPr>
          <w:rFonts w:ascii="Times New Roman" w:cs="Times New Roman" w:eastAsia="Times New Roman" w:hAnsi="Times New Roman"/>
          <w:b/>
          <w:bCs/>
          <w:sz w:val="24"/>
          <w:szCs w:val="24"/>
        </w:rPr>
        <w:t xml:space="preserve">Outcome misclassification.</w:t>
      </w:r>
      <w:r>
        <w:rPr>
          <w:rFonts w:ascii="Times New Roman" w:cs="Times New Roman" w:eastAsia="Times New Roman" w:hAnsi="Times New Roman"/>
          <w:sz w:val="24"/>
          <w:szCs w:val="24"/>
        </w:rPr>
        <w:t xml:space="preserve"> Code-based seizure ascertainment is imperfect, and chart validation of code-positive comparators has not been completed.</w:t>
      </w:r>
    </w:p>
    <w:p>
      <w:pPr>
        <w:spacing w:after="120"/>
      </w:pPr>
    </w:p>
    <w:p>
      <w:pPr>
        <w:spacing w:after="0" w:line="480"/>
        <w:jc w:val="left"/>
      </w:pPr>
      <w:r>
        <w:rPr>
          <w:rFonts w:ascii="Times New Roman" w:cs="Times New Roman" w:eastAsia="Times New Roman" w:hAnsi="Times New Roman"/>
          <w:b/>
          <w:bCs/>
          <w:sz w:val="24"/>
          <w:szCs w:val="24"/>
        </w:rPr>
        <w:t xml:space="preserve">Unmeasured and residual confounding by sleep-disordered breathing.</w:t>
      </w:r>
      <w:r>
        <w:rPr>
          <w:rFonts w:ascii="Times New Roman" w:cs="Times New Roman" w:eastAsia="Times New Roman" w:hAnsi="Times New Roman"/>
          <w:sz w:val="24"/>
          <w:szCs w:val="24"/>
        </w:rPr>
        <w:t xml:space="preserve"> OSA was substantially more common in the IIH arm despite matching, and is itself associated with seizure risk in this cohort. Adjustment reduced the estimate by 7.5% but OSA is ascertained from codes and is under-diagnosed in both arms, so residual confounding through this pathway remains plausible.</w:t>
      </w:r>
    </w:p>
    <w:p>
      <w:pPr>
        <w:spacing w:after="120"/>
      </w:pPr>
    </w:p>
    <w:p>
      <w:pPr>
        <w:spacing w:after="0" w:line="480"/>
        <w:jc w:val="left"/>
      </w:pPr>
      <w:r>
        <w:rPr>
          <w:rFonts w:ascii="Times New Roman" w:cs="Times New Roman" w:eastAsia="Times New Roman" w:hAnsi="Times New Roman"/>
          <w:b/>
          <w:bCs/>
          <w:sz w:val="24"/>
          <w:szCs w:val="24"/>
        </w:rPr>
        <w:t xml:space="preserve">Observational design.</w:t>
      </w:r>
      <w:r>
        <w:rPr>
          <w:rFonts w:ascii="Times New Roman" w:cs="Times New Roman" w:eastAsia="Times New Roman" w:hAnsi="Times New Roman"/>
          <w:sz w:val="24"/>
          <w:szCs w:val="24"/>
        </w:rPr>
        <w:t xml:space="preserve"> No causal claim is made, and residual confounding by factors raising both the likelihood of an IIH diagnosis and the likelihood of a seizure diagnosis cannot be excluded.</w:t>
      </w:r>
    </w:p>
    <w:p>
      <w:pPr>
        <w:spacing w:after="120"/>
      </w:pPr>
    </w:p>
    <w:p>
      <w:pPr>
        <w:pStyle w:val="Heading2"/>
        <w:spacing w:after="180" w:before="360"/>
      </w:pPr>
      <w:r>
        <w:rPr>
          <w:rFonts w:ascii="Times New Roman" w:cs="Times New Roman" w:eastAsia="Times New Roman" w:hAnsi="Times New Roman"/>
          <w:b/>
          <w:bCs/>
          <w:sz w:val="28"/>
          <w:szCs w:val="28"/>
        </w:rPr>
        <w:t xml:space="preserve">Conclusion</w:t>
      </w:r>
    </w:p>
    <w:p>
      <w:pPr>
        <w:spacing w:after="0" w:line="480"/>
        <w:jc w:val="left"/>
      </w:pPr>
      <w:r>
        <w:rPr>
          <w:rFonts w:ascii="Times New Roman" w:cs="Times New Roman" w:eastAsia="Times New Roman" w:hAnsi="Times New Roman"/>
          <w:sz w:val="24"/>
          <w:szCs w:val="24"/>
        </w:rPr>
        <w:t xml:space="preserve">Idiopathic intracranial hypertension was associated with a higher rate of incident seizures and epilepsy, with an absolute three-year risk difference of about two percentage points. Differential healthcare surveillance was assessed directly and is unlikely to account for the entire association, but could not be excluded as a partial contributor. These findings support heightened clinical attention to seizure symptoms in patients with IIH; they do not establish causation, and confirmation in a cohort under equivalent specialist follow-up is required.</w:t>
      </w:r>
    </w:p>
    <w:p>
      <w:pPr>
        <w:spacing w:after="120"/>
      </w:pPr>
    </w:p>
    <w:p>
      <w:pPr>
        <w:pStyle w:val="Heading2"/>
        <w:pageBreakBefore/>
        <w:spacing w:after="180" w:before="360"/>
      </w:pPr>
      <w:r>
        <w:rPr>
          <w:rFonts w:ascii="Times New Roman" w:cs="Times New Roman" w:eastAsia="Times New Roman" w:hAnsi="Times New Roman"/>
          <w:b/>
          <w:bCs/>
          <w:sz w:val="28"/>
          <w:szCs w:val="28"/>
        </w:rPr>
        <w:t xml:space="preserve">Tables</w:t>
      </w:r>
    </w:p>
    <w:p>
      <w:pPr>
        <w:spacing w:after="120" w:before="320" w:line="24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Baseline characteristics of the matched cohort.</w:t>
      </w:r>
    </w:p>
    <w:tbl>
      <w:tblPr>
        <w:tblW w:type="dxa" w:w="9360"/>
        <w:tblBorders>
          <w:top w:val="single" w:color="404040" w:sz="6"/>
          <w:left w:val="none"/>
          <w:bottom w:val="single" w:color="404040" w:sz="6"/>
          <w:right w:val="none"/>
          <w:insideH w:val="single" w:color="C8C8C8" w:sz="2"/>
          <w:insideV w:val="none"/>
        </w:tblBorders>
      </w:tblPr>
      <w:tblGrid>
        <w:gridCol w:w="3660"/>
        <w:gridCol w:w="2100"/>
        <w:gridCol w:w="2300"/>
        <w:gridCol w:w="1300"/>
      </w:tblGrid>
      <w:tr>
        <w:trPr>
          <w:tblHeader/>
        </w:trPr>
        <w:tc>
          <w:tcPr>
            <w:tcW w:type="dxa" w:w="366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Characteristic</w:t>
            </w:r>
          </w:p>
        </w:tc>
        <w:tc>
          <w:tcPr>
            <w:tcW w:type="dxa" w:w="21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IIH (n = 2,138)</w:t>
            </w:r>
          </w:p>
        </w:tc>
        <w:tc>
          <w:tcPr>
            <w:tcW w:type="dxa" w:w="23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Comparator (n = 5,743)</w:t>
            </w:r>
          </w:p>
        </w:tc>
        <w:tc>
          <w:tcPr>
            <w:tcW w:type="dxa" w:w="13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SMD</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Age at index, years, mean (SD)</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34.9 (10.2)</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35.5 (9.5)</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-0.065</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Female</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1875 (87.7%)</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4972 (86.6%)</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0.034</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BMI, kg/m2, mean (SD)</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36.5 (7.3)</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36.2 (6.5)</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0.05</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Obese (BMI &gt;= 30)</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1712 (80.1%)</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4478 (78.0%)</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0.052</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Hypertension</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473 (22.1%)</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940 (16.4%)</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0.146</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Current smoker (not comparable, see note)</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16 (0.7%)</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433 (7.5%)</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-0.346</w:t>
            </w:r>
          </w:p>
        </w:tc>
      </w:tr>
      <w:tr>
        <w:trPr>
          <w:tblHeader w:val="false"/>
        </w:trPr>
        <w:tc>
          <w:tcPr>
            <w:tcW w:type="dxa" w:w="36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Clinical visits, 12 months before index, mean (SD)</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20.6 (26.5)</w:t>
            </w:r>
          </w:p>
        </w:tc>
        <w:tc>
          <w:tcPr>
            <w:tcW w:type="dxa" w:w="2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9.2 (15.2)</w:t>
            </w:r>
          </w:p>
        </w:tc>
        <w:tc>
          <w:tcPr>
            <w:tcW w:type="dxa" w:w="13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0.526</w:t>
            </w:r>
          </w:p>
        </w:tc>
      </w:tr>
    </w:tbl>
    <w:p>
      <w:pPr>
        <w:spacing w:after="240" w:before="80" w:line="240"/>
      </w:pPr>
      <w:r>
        <w:rPr>
          <w:rFonts w:ascii="Times New Roman" w:cs="Times New Roman" w:eastAsia="Times New Roman" w:hAnsi="Times New Roman"/>
          <w:i/>
          <w:iCs/>
          <w:color w:val="595959"/>
          <w:sz w:val="18"/>
          <w:szCs w:val="18"/>
        </w:rPr>
        <w:t xml:space="preserve">Source: SAP_T1_baseline. SMD, standardised mean difference. Recorded smoking is not comparable between the source extracts and was not used as a covariate.</w:t>
      </w:r>
    </w:p>
    <w:p>
      <w:pPr>
        <w:spacing w:after="120" w:before="320" w:line="24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Primary outcome and sensitivity analyses: incident seizure or epilepsy after the 180-day washout.</w:t>
      </w:r>
    </w:p>
    <w:tbl>
      <w:tblPr>
        <w:tblW w:type="dxa" w:w="9360"/>
        <w:tblBorders>
          <w:top w:val="single" w:color="404040" w:sz="6"/>
          <w:left w:val="none"/>
          <w:bottom w:val="single" w:color="404040" w:sz="6"/>
          <w:right w:val="none"/>
          <w:insideH w:val="single" w:color="C8C8C8" w:sz="2"/>
          <w:insideV w:val="none"/>
        </w:tblBorders>
      </w:tblPr>
      <w:tblGrid>
        <w:gridCol w:w="3960"/>
        <w:gridCol w:w="1700"/>
        <w:gridCol w:w="1900"/>
        <w:gridCol w:w="1800"/>
      </w:tblGrid>
      <w:tr>
        <w:trPr>
          <w:tblHeader/>
        </w:trPr>
        <w:tc>
          <w:tcPr>
            <w:tcW w:type="dxa" w:w="396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Analysis</w:t>
            </w:r>
          </w:p>
        </w:tc>
        <w:tc>
          <w:tcPr>
            <w:tcW w:type="dxa" w:w="17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IIH events/n</w:t>
            </w:r>
          </w:p>
        </w:tc>
        <w:tc>
          <w:tcPr>
            <w:tcW w:type="dxa" w:w="19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Comparator events/n</w:t>
            </w:r>
          </w:p>
        </w:tc>
        <w:tc>
          <w:tcPr>
            <w:tcW w:type="dxa" w:w="18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Hazard ratio (95% CI)</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Primary</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66/2138</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63/5743</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2.28 (1.62 to 3.22)</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Codes only, medication channel removed</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56/2138</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63/5743</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1.93 (1.34 to 2.77)</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Epilepsy-specific codes only (G40/345)</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26/2138</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24/5743</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2.30 (1.35 to 3.92)</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Restricted to opening pressure ≥25 cmH₂O</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36/1122</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34/2986</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2.25 (1.41 to 3.59)</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All encounter rows counted as contact</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65/2507</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67/7905</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2.79 (1.98 to 3.93)</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Complete matched sets only</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66/2138</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61/4954</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2.06 (1.46 to 2.92)</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Landmark, first 30 days excluded</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62</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53</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2.49 (1.73 to 3.58)</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Landmark, first 90 days excluded</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49</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44</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2.29 (1.54 to 3.41)</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Landmark, first 180 days excluded</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39</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35</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2.22 (1.40 to 3.51)</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Fine–Gray subdistribution hazard</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2.28 (1.62 to 3.22)</w:t>
            </w:r>
          </w:p>
        </w:tc>
      </w:tr>
      <w:tr>
        <w:trPr>
          <w:tblHeader w:val="false"/>
        </w:trPr>
        <w:tc>
          <w:tcPr>
            <w:tcW w:type="dxa" w:w="39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Overlap-weighted</w:t>
            </w:r>
          </w:p>
        </w:tc>
        <w:tc>
          <w:tcPr>
            <w:tcW w:type="dxa" w:w="17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w:t>
            </w:r>
          </w:p>
        </w:tc>
        <w:tc>
          <w:tcPr>
            <w:tcW w:type="dxa" w:w="19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2.31 (1.56 to 3.43)</w:t>
            </w:r>
          </w:p>
        </w:tc>
      </w:tr>
    </w:tbl>
    <w:p>
      <w:pPr>
        <w:spacing w:after="240" w:before="80" w:line="240"/>
      </w:pPr>
      <w:r>
        <w:rPr>
          <w:rFonts w:ascii="Times New Roman" w:cs="Times New Roman" w:eastAsia="Times New Roman" w:hAnsi="Times New Roman"/>
          <w:i/>
          <w:iCs/>
          <w:color w:val="595959"/>
          <w:sz w:val="18"/>
          <w:szCs w:val="18"/>
        </w:rPr>
        <w:t xml:space="preserve">Sources: K_T38, Z_T01, SAP_T3b, SAP_T4, SAP_T6. Primary three-year cumulative incidence 3.83% vs 1.71%; risk difference 2.12 percentage points; proportional hazards p = 0.94.</w:t>
      </w:r>
    </w:p>
    <w:p>
      <w:pPr>
        <w:spacing w:after="0" w:line="480"/>
        <w:jc w:val="left"/>
      </w:pPr>
      <w:r>
        <w:rPr>
          <w:rFonts w:ascii="Times New Roman" w:cs="Times New Roman" w:eastAsia="Times New Roman" w:hAnsi="Times New Roman"/>
          <w:sz w:val="24"/>
          <w:szCs w:val="24"/>
        </w:rPr>
        <w:t xml:space="preserve">primary outcome and its sensitivity analyses. </w:t>
      </w:r>
      <w:r>
        <w:rPr>
          <w:rFonts w:ascii="Times New Roman" w:cs="Times New Roman" w:eastAsia="Times New Roman" w:hAnsi="Times New Roman"/>
          <w:i/>
          <w:iCs/>
          <w:sz w:val="24"/>
          <w:szCs w:val="24"/>
        </w:rPr>
        <w:t xml:space="preserve">(K_T38, Z_T01)</w:t>
      </w:r>
    </w:p>
    <w:p>
      <w:pPr>
        <w:spacing w:after="120"/>
      </w:pPr>
    </w:p>
    <w:p>
      <w:pPr>
        <w:spacing w:after="120" w:before="320" w:line="240"/>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Post-index healthcare surveillance, by encounter setting.</w:t>
      </w:r>
    </w:p>
    <w:tbl>
      <w:tblPr>
        <w:tblW w:type="dxa" w:w="9360"/>
        <w:tblBorders>
          <w:top w:val="single" w:color="404040" w:sz="6"/>
          <w:left w:val="none"/>
          <w:bottom w:val="single" w:color="404040" w:sz="6"/>
          <w:right w:val="none"/>
          <w:insideH w:val="single" w:color="C8C8C8" w:sz="2"/>
          <w:insideV w:val="none"/>
        </w:tblBorders>
      </w:tblPr>
      <w:tblGrid>
        <w:gridCol w:w="2760"/>
        <w:gridCol w:w="2200"/>
        <w:gridCol w:w="2400"/>
        <w:gridCol w:w="2000"/>
      </w:tblGrid>
      <w:tr>
        <w:trPr>
          <w:tblHeader/>
        </w:trPr>
        <w:tc>
          <w:tcPr>
            <w:tcW w:type="dxa" w:w="276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Setting</w:t>
            </w:r>
          </w:p>
        </w:tc>
        <w:tc>
          <w:tcPr>
            <w:tcW w:type="dxa" w:w="22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IIH, per person-year</w:t>
            </w:r>
          </w:p>
        </w:tc>
        <w:tc>
          <w:tcPr>
            <w:tcW w:type="dxa" w:w="24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Comparator, per person-year</w:t>
            </w:r>
          </w:p>
        </w:tc>
        <w:tc>
          <w:tcPr>
            <w:tcW w:type="dxa" w:w="20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Rate ratio (95% CI)</w:t>
            </w:r>
          </w:p>
        </w:tc>
      </w:tr>
      <w:tr>
        <w:trPr>
          <w:tblHeader w:val="false"/>
        </w:trPr>
        <w:tc>
          <w:tcPr>
            <w:tcW w:type="dxa" w:w="27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All clinical visits</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22.56 (22.42 to 22.69)</w:t>
            </w:r>
          </w:p>
        </w:tc>
        <w:tc>
          <w:tcPr>
            <w:tcW w:type="dxa" w:w="24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8.34 (8.28 to 8.40)</w:t>
            </w:r>
          </w:p>
        </w:tc>
        <w:tc>
          <w:tcPr>
            <w:tcW w:type="dxa" w:w="2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2.70 (2.68 to 2.73)</w:t>
            </w:r>
          </w:p>
        </w:tc>
      </w:tr>
      <w:tr>
        <w:trPr>
          <w:tblHeader w:val="false"/>
        </w:trPr>
        <w:tc>
          <w:tcPr>
            <w:tcW w:type="dxa" w:w="27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Emergency encounters</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0.15 (0.14 to 0.16)</w:t>
            </w:r>
          </w:p>
        </w:tc>
        <w:tc>
          <w:tcPr>
            <w:tcW w:type="dxa" w:w="24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0.03 (0.02 to 0.03)</w:t>
            </w:r>
          </w:p>
        </w:tc>
        <w:tc>
          <w:tcPr>
            <w:tcW w:type="dxa" w:w="2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5.74 (4.96 to 6.65)</w:t>
            </w:r>
          </w:p>
        </w:tc>
      </w:tr>
      <w:tr>
        <w:trPr>
          <w:tblHeader w:val="false"/>
        </w:trPr>
        <w:tc>
          <w:tcPr>
            <w:tcW w:type="dxa" w:w="27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Hospital or inpatient encounters</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3.06 (3.01 to 3.11)</w:t>
            </w:r>
          </w:p>
        </w:tc>
        <w:tc>
          <w:tcPr>
            <w:tcW w:type="dxa" w:w="24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1.35 (1.32 to 1.37)</w:t>
            </w:r>
          </w:p>
        </w:tc>
        <w:tc>
          <w:tcPr>
            <w:tcW w:type="dxa" w:w="2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2.27 (2.22 to 2.33)</w:t>
            </w:r>
          </w:p>
        </w:tc>
      </w:tr>
      <w:tr>
        <w:trPr>
          <w:tblHeader w:val="false"/>
        </w:trPr>
        <w:tc>
          <w:tcPr>
            <w:tcW w:type="dxa" w:w="27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Office or clinic visits</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10.06 (9.97 to 10.16)</w:t>
            </w:r>
          </w:p>
        </w:tc>
        <w:tc>
          <w:tcPr>
            <w:tcW w:type="dxa" w:w="24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3.44 (3.40 to 3.48)</w:t>
            </w:r>
          </w:p>
        </w:tc>
        <w:tc>
          <w:tcPr>
            <w:tcW w:type="dxa" w:w="2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2.92 (2.88 to 2.97)</w:t>
            </w:r>
          </w:p>
        </w:tc>
      </w:tr>
      <w:tr>
        <w:trPr>
          <w:tblHeader w:val="false"/>
        </w:trPr>
        <w:tc>
          <w:tcPr>
            <w:tcW w:type="dxa" w:w="27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Procedural or diagnostic encounters</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4.25 (4.19 to 4.31)</w:t>
            </w:r>
          </w:p>
        </w:tc>
        <w:tc>
          <w:tcPr>
            <w:tcW w:type="dxa" w:w="24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1.83 (1.80 to 1.86)</w:t>
            </w:r>
          </w:p>
        </w:tc>
        <w:tc>
          <w:tcPr>
            <w:tcW w:type="dxa" w:w="2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2.32 (2.28 to 2.37)</w:t>
            </w:r>
          </w:p>
        </w:tc>
      </w:tr>
      <w:tr>
        <w:trPr>
          <w:tblHeader w:val="false"/>
        </w:trPr>
        <w:tc>
          <w:tcPr>
            <w:tcW w:type="dxa" w:w="27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Laboratory encounters</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0.10 (0.09 to 0.11)</w:t>
            </w:r>
          </w:p>
        </w:tc>
        <w:tc>
          <w:tcPr>
            <w:tcW w:type="dxa" w:w="24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0.09 (0.08 to 0.10)</w:t>
            </w:r>
          </w:p>
        </w:tc>
        <w:tc>
          <w:tcPr>
            <w:tcW w:type="dxa" w:w="20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1.14 (1.02 to 1.28)</w:t>
            </w:r>
          </w:p>
        </w:tc>
      </w:tr>
    </w:tbl>
    <w:p>
      <w:pPr>
        <w:spacing w:after="240" w:before="80" w:line="240"/>
      </w:pPr>
      <w:r>
        <w:rPr>
          <w:rFonts w:ascii="Times New Roman" w:cs="Times New Roman" w:eastAsia="Times New Roman" w:hAnsi="Times New Roman"/>
          <w:i/>
          <w:iCs/>
          <w:color w:val="595959"/>
          <w:sz w:val="18"/>
          <w:szCs w:val="18"/>
        </w:rPr>
        <w:t xml:space="preserve">Source: K_T54. Neurology, ophthalmology, imaging and EEG rates are not estimable: the encounter extract carries no specialty field, the radiology extract covers comparators only, and EEG is recorded for IIH patients only.</w:t>
      </w:r>
    </w:p>
    <w:p>
      <w:pPr>
        <w:spacing w:after="120" w:before="320" w:line="240"/>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Negative-control outcomes: baseline imbalance, post-index effect and unadjusted rate ratios.</w:t>
      </w:r>
    </w:p>
    <w:tbl>
      <w:tblPr>
        <w:tblW w:type="dxa" w:w="9360"/>
        <w:tblBorders>
          <w:top w:val="single" w:color="404040" w:sz="6"/>
          <w:left w:val="none"/>
          <w:bottom w:val="single" w:color="404040" w:sz="6"/>
          <w:right w:val="none"/>
          <w:insideH w:val="single" w:color="C8C8C8" w:sz="2"/>
          <w:insideV w:val="none"/>
        </w:tblBorders>
      </w:tblPr>
      <w:tblGrid>
        <w:gridCol w:w="3260"/>
        <w:gridCol w:w="2100"/>
        <w:gridCol w:w="2200"/>
        <w:gridCol w:w="1800"/>
      </w:tblGrid>
      <w:tr>
        <w:trPr>
          <w:tblHeader/>
        </w:trPr>
        <w:tc>
          <w:tcPr>
            <w:tcW w:type="dxa" w:w="326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Negative-control outcome</w:t>
            </w:r>
          </w:p>
        </w:tc>
        <w:tc>
          <w:tcPr>
            <w:tcW w:type="dxa" w:w="21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Baseline prevalence ratio</w:t>
            </w:r>
          </w:p>
        </w:tc>
        <w:tc>
          <w:tcPr>
            <w:tcW w:type="dxa" w:w="22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Post-index HR (95% CI)</w:t>
            </w:r>
          </w:p>
        </w:tc>
        <w:tc>
          <w:tcPr>
            <w:tcW w:type="dxa" w:w="1800"/>
            <w:shd w:fill="E8EDF4" w:color="auto" w:val="clear"/>
            <w:tcMar>
              <w:top w:type="dxa" w:w="60"/>
              <w:left w:type="dxa" w:w="108"/>
              <w:bottom w:type="dxa" w:w="60"/>
              <w:right w:type="dxa" w:w="108"/>
            </w:tcMar>
          </w:tcPr>
          <w:p>
            <w:pPr>
              <w:spacing w:after="20" w:before="20" w:line="240"/>
            </w:pPr>
            <w:r>
              <w:rPr>
                <w:rFonts w:ascii="Times New Roman" w:cs="Times New Roman" w:eastAsia="Times New Roman" w:hAnsi="Times New Roman"/>
                <w:b/>
                <w:bCs/>
                <w:sz w:val="20"/>
                <w:szCs w:val="20"/>
              </w:rPr>
              <w:t xml:space="preserve">Unadjusted rate ratio</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Herpes zoster</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3.24</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2.98 (1.41 to 6.32)</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2.92 (1.39 to 6.11)</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Renal/ureteric stone</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2.04</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3.09 (2.09 to 4.56)</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3.00 (2.04 to 4.42)</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Gallstones</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1.58</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2.00 (1.29 to 3.11)</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2.02 (1.30 to 3.14)</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Acute appendicitis</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2.27</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1.06 (0.32 to 3.50)</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1.02 (0.31 to 3.39)</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Carpal tunnel</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2.54</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2.84 (1.77 to 4.57)</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2.90 (1.80 to 4.67)</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Upper respiratory infection</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2.03</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2.02 (1.65 to 2.48)</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2.00 (1.63 to 2.44)</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Otitis media or externa</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3.68</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3.09 (2.15 to 4.43)</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3.06 (2.14 to 4.38)</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Sprain or strain</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2.84</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2.47 (1.67 to 3.67)</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2.44 (1.65 to 3.61)</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Laceration or open wound</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4.97</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4.28 (2.37 to 7.75)</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4.31 (2.37 to 7.83)</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Contact dermatitis</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2.55</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1.85 (0.98 to 3.50)</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1.85 (0.98 to 3.49)</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Fracture, excluding skull/face</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1.82</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1.22 (0.76 to 1.98)</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w:t>
            </w:r>
          </w:p>
        </w:tc>
      </w:tr>
      <w:tr>
        <w:trPr>
          <w:tblHeader w:val="false"/>
        </w:trPr>
        <w:tc>
          <w:tcPr>
            <w:tcW w:type="dxa" w:w="326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Seizure or epilepsy (primary outcome)</w:t>
            </w:r>
          </w:p>
        </w:tc>
        <w:tc>
          <w:tcPr>
            <w:tcW w:type="dxa" w:w="21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w:t>
            </w:r>
          </w:p>
        </w:tc>
        <w:tc>
          <w:tcPr>
            <w:tcW w:type="dxa" w:w="22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2.28 (1.62 to 3.22)</w:t>
            </w:r>
          </w:p>
        </w:tc>
        <w:tc>
          <w:tcPr>
            <w:tcW w:type="dxa" w:w="1800"/>
            <w:tcMar>
              <w:top w:type="dxa" w:w="60"/>
              <w:left w:type="dxa" w:w="108"/>
              <w:bottom w:type="dxa" w:w="60"/>
              <w:right w:type="dxa" w:w="108"/>
            </w:tcMar>
          </w:tcPr>
          <w:p>
            <w:pPr>
              <w:spacing w:after="20" w:before="20" w:line="240"/>
            </w:pPr>
            <w:r>
              <w:rPr>
                <w:rFonts w:ascii="Times New Roman" w:cs="Times New Roman" w:eastAsia="Times New Roman" w:hAnsi="Times New Roman"/>
                <w:b w:val="false"/>
                <w:bCs w:val="false"/>
                <w:sz w:val="20"/>
                <w:szCs w:val="20"/>
              </w:rPr>
              <w:t xml:space="preserve">2.15 (1.52 to 3.04)</w:t>
            </w:r>
          </w:p>
        </w:tc>
      </w:tr>
    </w:tbl>
    <w:p>
      <w:pPr>
        <w:spacing w:after="240" w:before="80" w:line="240"/>
      </w:pPr>
      <w:r>
        <w:rPr>
          <w:rFonts w:ascii="Times New Roman" w:cs="Times New Roman" w:eastAsia="Times New Roman" w:hAnsi="Times New Roman"/>
          <w:i/>
          <w:iCs/>
          <w:color w:val="595959"/>
          <w:sz w:val="18"/>
          <w:szCs w:val="18"/>
        </w:rPr>
        <w:t xml:space="preserve">Sources: K_T42, K_T45, K_T55. All eleven controls failed the pre-specified baseline-balance criterion, so the panel cannot support a specificity claim. On unadjusted rate ratios the primary outcome ranks eighth of twelve.</w:t>
      </w:r>
    </w:p>
    <w:p>
      <w:pPr>
        <w:spacing w:after="0" w:line="480"/>
        <w:jc w:val="left"/>
      </w:pPr>
      <w:r>
        <w:rPr>
          <w:rFonts w:ascii="Times New Roman" w:cs="Times New Roman" w:eastAsia="Times New Roman" w:hAnsi="Times New Roman"/>
          <w:sz w:val="24"/>
          <w:szCs w:val="24"/>
        </w:rPr>
        <w:t xml:space="preserve">hazard ratios and unadjusted rate ratios. </w:t>
      </w:r>
      <w:r>
        <w:rPr>
          <w:rFonts w:ascii="Times New Roman" w:cs="Times New Roman" w:eastAsia="Times New Roman" w:hAnsi="Times New Roman"/>
          <w:i/>
          <w:iCs/>
          <w:sz w:val="24"/>
          <w:szCs w:val="24"/>
        </w:rPr>
        <w:t xml:space="preserve">(K_T42, K_T45, K_T55)</w:t>
      </w:r>
    </w:p>
    <w:p>
      <w:pPr>
        <w:spacing w:after="120"/>
      </w:pPr>
    </w:p>
    <w:p>
      <w:pPr>
        <w:pStyle w:val="Heading2"/>
        <w:spacing w:after="180" w:before="360"/>
      </w:pPr>
      <w:r>
        <w:rPr>
          <w:rFonts w:ascii="Times New Roman" w:cs="Times New Roman" w:eastAsia="Times New Roman" w:hAnsi="Times New Roman"/>
          <w:b/>
          <w:bCs/>
          <w:sz w:val="28"/>
          <w:szCs w:val="28"/>
        </w:rPr>
        <w:t xml:space="preserve">Figure legends</w:t>
      </w:r>
    </w:p>
    <w:p>
      <w:pPr>
        <w:spacing w:after="0" w:line="480"/>
        <w:jc w:val="left"/>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Cumulative incidence of seizure or epilepsy after the 180-day washout, by cohort, estimated by the Aalen–Johansen method with death as a competing event. Shaded bands are 95% confidence intervals; numbers at risk are shown beneath. </w:t>
      </w:r>
      <w:r>
        <w:rPr>
          <w:rFonts w:ascii="Times New Roman" w:cs="Times New Roman" w:eastAsia="Times New Roman" w:hAnsi="Times New Roman"/>
          <w:i/>
          <w:iCs/>
          <w:sz w:val="24"/>
          <w:szCs w:val="24"/>
        </w:rPr>
        <w:t xml:space="preserve">(K_F1)</w:t>
      </w:r>
    </w:p>
    <w:p>
      <w:pPr>
        <w:spacing w:after="120"/>
      </w:pPr>
    </w:p>
    <w:p>
      <w:pPr>
        <w:spacing w:after="0" w:line="480"/>
        <w:jc w:val="left"/>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Hazard ratio for incident seizure or epilepsy across outcome definitions, encounter definitions, landmark starting points and analytic models. Points are hazard ratios, horizontal lines 95% confidence intervals, and the vertical reference line the null. </w:t>
      </w:r>
      <w:r>
        <w:rPr>
          <w:rFonts w:ascii="Times New Roman" w:cs="Times New Roman" w:eastAsia="Times New Roman" w:hAnsi="Times New Roman"/>
          <w:i/>
          <w:iCs/>
          <w:sz w:val="24"/>
          <w:szCs w:val="24"/>
        </w:rPr>
        <w:t xml:space="preserve">(K_F2)</w:t>
      </w:r>
    </w:p>
    <w:p>
      <w:pPr>
        <w:spacing w:after="120"/>
      </w:pPr>
    </w:p>
    <w:p>
      <w:pPr>
        <w:spacing w:after="0" w:line="480"/>
        <w:jc w:val="left"/>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Proportion of events classified as recurrent seizures or epilepsy rather than a single seizure, by cohort, with exact binomial intervals. </w:t>
      </w:r>
      <w:r>
        <w:rPr>
          <w:rFonts w:ascii="Times New Roman" w:cs="Times New Roman" w:eastAsia="Times New Roman" w:hAnsi="Times New Roman"/>
          <w:i/>
          <w:iCs/>
          <w:sz w:val="24"/>
          <w:szCs w:val="24"/>
        </w:rPr>
        <w:t xml:space="preserve">(K_F3)</w:t>
      </w:r>
    </w:p>
    <w:p>
      <w:pPr>
        <w:spacing w:after="120"/>
      </w:pPr>
    </w:p>
    <w:p>
      <w:pPr>
        <w:spacing w:after="0" w:line="480"/>
        <w:jc w:val="left"/>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Relationship between baseline imbalance and apparent post-index effect across eleven negative-control outcomes. The fitted line is extrapolated to baseline balance to give the predicted detection-attributable hazard ratio; the observed seizure estimate is plotted for comparison. </w:t>
      </w:r>
      <w:r>
        <w:rPr>
          <w:rFonts w:ascii="Times New Roman" w:cs="Times New Roman" w:eastAsia="Times New Roman" w:hAnsi="Times New Roman"/>
          <w:i/>
          <w:iCs/>
          <w:sz w:val="24"/>
          <w:szCs w:val="24"/>
        </w:rPr>
        <w:t xml:space="preserve">(K_F8)</w:t>
      </w:r>
    </w:p>
    <w:p>
      <w:pPr>
        <w:spacing w:after="120"/>
      </w:pPr>
    </w:p>
    <w:p>
      <w:pPr>
        <w:spacing w:after="0" w:line="480"/>
        <w:jc w:val="left"/>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Direction of movement of each outcome's hazard ratio under adjustment for six independent measures of pre-index healthcare contact. Negative controls are shown in grey, the primary outcome in colour. </w:t>
      </w:r>
      <w:r>
        <w:rPr>
          <w:rFonts w:ascii="Times New Roman" w:cs="Times New Roman" w:eastAsia="Times New Roman" w:hAnsi="Times New Roman"/>
          <w:i/>
          <w:iCs/>
          <w:sz w:val="24"/>
          <w:szCs w:val="24"/>
        </w:rPr>
        <w:t xml:space="preserve">(K_F7)</w:t>
      </w:r>
    </w:p>
    <w:p>
      <w:pPr>
        <w:spacing w:after="120"/>
      </w:pPr>
    </w:p>
    <w:p>
      <w:pPr>
        <w:spacing w:after="0" w:line="480"/>
        <w:jc w:val="left"/>
      </w:pPr>
      <w:r>
        <w:rPr>
          <w:rFonts w:ascii="Times New Roman" w:cs="Times New Roman" w:eastAsia="Times New Roman" w:hAnsi="Times New Roman"/>
          <w:i/>
          <w:iCs/>
          <w:sz w:val="24"/>
          <w:szCs w:val="24"/>
        </w:rPr>
        <w:t xml:space="preserve">Analysis code, statistical analysis plan and complete result tables: `report/FINAL_RESULTS.md`, `report/STATISTICAL_ANALYSIS_PLAN.md`. The full analysis reproduces from the raw exports with `./run_final.sh`.</w:t>
      </w:r>
    </w:p>
    <w:p>
      <w:pPr>
        <w:spacing w:after="120"/>
      </w:pP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Seizures and Epilepsy After Idiopathic Intracranial Hypertension</dc:title>
  <dc:creator>Selim Tarabeah</dc:creator>
  <cp:lastModifiedBy>Un-named</cp:lastModifiedBy>
  <cp:revision>1</cp:revision>
  <dcterms:created xsi:type="dcterms:W3CDTF">2026-09-25T14:35:17.796Z</dcterms:created>
  <dcterms:modified xsi:type="dcterms:W3CDTF">2026-09-25T14:35:17.811Z</dcterms:modified>
</cp:coreProperties>
</file>

<file path=docProps/custom.xml><?xml version="1.0" encoding="utf-8"?>
<Properties xmlns="http://schemas.openxmlformats.org/officeDocument/2006/custom-properties" xmlns:vt="http://schemas.openxmlformats.org/officeDocument/2006/docPropsVTypes"/>
</file>