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3,258; abstract 299</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characterized by elevated cerebrospinal fluid (CSF) pressure in the absence of an identifiable secondary cause. It occurs predominantly in women of reproductive age with obesity, and its incidence continues to rise in parallel with the global obesity epidemic.1 According to the revised Friedman criteria, IIH is defined by papilledema or abducens nerve palsy, elevated lumbar puncture opening pressure, normal CSF composition, a normal neurologic examination apart from cranial nerve abnormalities, and neuroimaging demonstrating no space-occupying lesion, hydrocephalus, or cerebral venous sinus thrombosis.2 A normal mental status and the absence of focal neurologic deficits are themselves diagnostic requirements. Natural-history studies describe headache, transient visual obscurations, pulsatile tinnitus, visual loss, and diplopia as the characteristic clinical spectrum of IIH, without an established association with seizures or epilepsy either at presentation or during long-term follow-up.1--4</w:t>
      </w:r>
    </w:p>
    <w:p>
      <w:pPr>
        <w:spacing w:after="120"/>
      </w:pPr>
    </w:p>
    <w:p>
      <w:pPr>
        <w:spacing w:after="0" w:line="480"/>
      </w:pPr>
      <w:r>
        <w:rPr>
          <w:rFonts w:ascii="Times New Roman" w:cs="Times New Roman" w:eastAsia="Times New Roman" w:hAnsi="Times New Roman"/>
          <w:sz w:val="24"/>
          <w:szCs w:val="24"/>
        </w:rPr>
        <w:t xml:space="preserve">This distinction has important diagnostic implications as IIH remains a diagnosis of exclusion. Among the most important mimics is cerebral venous thrombosis, which can reproduce the headache, papilledema, and sixth-nerve palsy characteristic of IIH but frequently presents with seizures or focal neurologic deficits due to cortical venous involvement.5,6 Consequently, diagnostic paradigms have long distinguished pressure-mediated disease without seizures from structural venous pathology in which seizures are common. This leads to the view that epilepsy represents evidence against rather than a consequence of IIH.</w:t>
      </w:r>
    </w:p>
    <w:p>
      <w:pPr>
        <w:spacing w:after="120"/>
      </w:pPr>
    </w:p>
    <w:p>
      <w:pPr>
        <w:spacing w:after="0" w:line="480"/>
      </w:pPr>
      <w:r>
        <w:rPr>
          <w:rFonts w:ascii="Times New Roman" w:cs="Times New Roman" w:eastAsia="Times New Roman" w:hAnsi="Times New Roman"/>
          <w:sz w:val="24"/>
          <w:szCs w:val="24"/>
        </w:rPr>
        <w:t xml:space="preserve">However, an indirect mechanistic link between IIH and epilepsy has been proposed. Chronic intracranial hypertension may lead to skull-base remodeling and osseous erosion, resulting in meningoceles and, most notably, temporal lobe encephaloceles through the middle cranial fossa. These structural abnormalities have been described in patients with IIH, spontaneous skull-base CSF leaks, and drug-resistant temporal lobe epilepsy, suggesting that sustained elevations in intracranial pressure could create a substrate for epileptogenesis over time rather than precipitating seizures acutely.7 Whether this anatomic association translates into an increased population-level risk of incident seizures or epilepsy remains unknown. Current prognostic frameworks for IIH therefore remain focused on visual outcomes, headache burden, and disease recurrence, with little consideration of seizure-related outcomes.8,9</w:t>
      </w:r>
    </w:p>
    <w:p>
      <w:pPr>
        <w:spacing w:after="120"/>
      </w:pPr>
    </w:p>
    <w:p>
      <w:pPr>
        <w:spacing w:after="0" w:line="480"/>
      </w:pPr>
      <w:r>
        <w:rPr>
          <w:rFonts w:ascii="Times New Roman" w:cs="Times New Roman" w:eastAsia="Times New Roman" w:hAnsi="Times New Roman"/>
          <w:sz w:val="24"/>
          <w:szCs w:val="24"/>
        </w:rPr>
        <w:t xml:space="preserve">We conducted a matched retrospective cohort study to determine whether IIH is associated with an increased risk of incident seizures or epilepsy compared with matched individuals without IIH. We additionally sought to characterize the magnitude and temporal pattern of any observed association and to evaluate its robustness using a prespecified negative-control framework designed to assess potential differential ascertainment bias.</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This report follows the STROBE and RECORD reporting guidelines.10,11 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available.12 The complete code list is provided in eTable 1.Comparators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Patients with a history of ischemic stroke, intracerebral or subarachnoid hemorrhage, craniotomy, brain tumor, or traumatic brain injury were excluded from the comparator group, because these conditions are independent risk factors for seizures. This exclusion was applied at the stage of comparator extraction and </w:t>
      </w:r>
      <w:r>
        <w:rPr>
          <w:rFonts w:ascii="Times New Roman" w:cs="Times New Roman" w:eastAsia="Times New Roman" w:hAnsi="Times New Roman"/>
          <w:b/>
          <w:bCs/>
          <w:sz w:val="24"/>
          <w:szCs w:val="24"/>
        </w:rPr>
        <w:t xml:space="preserve">was not applied to the IIH group</w:t>
      </w:r>
      <w:r>
        <w:rPr>
          <w:rFonts w:ascii="Times New Roman" w:cs="Times New Roman" w:eastAsia="Times New Roman" w:hAnsi="Times New Roman"/>
          <w:sz w:val="24"/>
          <w:szCs w:val="24"/>
        </w:rPr>
        <w:t xml:space="preserve">, for whom the corresponding diagnosis extract was not available. The asymmetry is therefore a known deviation from the intended design rather than an analytic choice, and its expected direction is to remove seizure-prone individuals from the comparator group only, which would bias the hazard ratio away from the null. It is quantified no further here because the data needed to apply the same exclusion to the IIH group were not obtainable; a symmetric re-analysis is the first priority for any future revision.</w:t>
      </w:r>
    </w:p>
    <w:p>
      <w:pPr>
        <w:spacing w:after="120"/>
      </w:pPr>
    </w:p>
    <w:p>
      <w:pPr>
        <w:spacing w:after="0" w:line="480"/>
      </w:pPr>
      <w:r>
        <w:rPr>
          <w:rFonts w:ascii="Times New Roman" w:cs="Times New Roman" w:eastAsia="Times New Roman" w:hAnsi="Times New Roman"/>
          <w:sz w:val="24"/>
          <w:szCs w:val="24"/>
        </w:rPr>
        <w:t xml:space="preserve">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(ILAE).13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sz w:val="24"/>
          <w:szCs w:val="24"/>
        </w:rPr>
        <w:t xml:space="preserve">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set.14 Proportional hazards were assessed using scaled Schoenfeld residuals. Cumulative incidence was estimated using the Aalen--Johansen estimator with death as a competing event, and a Fine--Gray model was used to estimate the corresponding subdistribution HR.15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weighting16;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3).17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alone.18</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HR.19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eFigure 1).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2).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is nearly twice as prevalent among patients with IIH, and is itself associated with epilepsy.20 It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IIH.21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patients.22 Martinez-Poles and colleagues similarly found smaller pituitary height and larger optic nerve sheath diameters among patients with temporal pole encephaloceles compared with controls with other focal epilepsies.23 Case reports have described seizures as a presenting or predominant manifestation of presumed IIH in patients with skull-base encephaloceles.24,25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epilepsy.26--30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useful.26,27 When both conditions are present, treatment selection may require consideration of weight and IIH management; for example, topiramate may address both seizure risk and weight-related concerns, whereas some ASMs associated with weight gain may be less attractive.31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two eligibility steps were applied asymmetrically. Comparators, but not cases, were excluded for a history of ischemic stroke, intracerebral or subarachnoid hemorrhage, craniotomy, brain tumor, or traumatic brain injury, because the corresponding diagnosis extract was unavailable for the IIH group. Because each of these conditions raises seizure risk, removing them from the comparator group alone would be expected to lower the comparator event rate and bias the hazard ratio away from the null; the magnitude cannot be estimated without the corresponding extract for the IIH group, and a symmetric re-analysis is the first priority for any revision. Separately,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Horton JC. Idiopathic intracranial hypertension. N Engl J Med. 2025;392(10):995-1008. doi:10.1056/NEJMra2404929</w:t>
      </w:r>
    </w:p>
    <w:p>
      <w:pPr>
        <w:spacing w:after="0" w:line="480"/>
      </w:pPr>
      <w:r>
        <w:rPr>
          <w:rFonts w:ascii="Times New Roman" w:cs="Times New Roman" w:eastAsia="Times New Roman" w:hAnsi="Times New Roman"/>
          <w:sz w:val="24"/>
          <w:szCs w:val="24"/>
        </w:rPr>
        <w:t xml:space="preserve">2. Markey KA, Mollan SP, Jensen RH, Sinclair AJ. Understanding idiopathic intracranial hypertension: mechanisms, management, and future directions. Lancet Neurol. 2016;15(1):78-91. doi:10.1016/S1474-4422(15)00298-7</w:t>
      </w:r>
    </w:p>
    <w:p>
      <w:pPr>
        <w:spacing w:after="120"/>
      </w:pPr>
    </w:p>
    <w:p>
      <w:pPr>
        <w:spacing w:after="40" w:line="300"/>
      </w:pPr>
      <w:r>
        <w:rPr>
          <w:rFonts w:ascii="Times New Roman" w:cs="Times New Roman" w:eastAsia="Times New Roman" w:hAnsi="Times New Roman"/>
          <w:sz w:val="24"/>
          <w:szCs w:val="24"/>
        </w:rPr>
        <w:t xml:space="preserve">3. Patel P, Ross A, Henretig FM, et al. Clinical reasoning: a 12-year-old girl with headache and change in mental status. Neurology. 2018;90(11):e1000-e1004.</w:t>
      </w:r>
    </w:p>
    <w:p>
      <w:pPr>
        <w:spacing w:after="0" w:line="480"/>
      </w:pPr>
      <w:r>
        <w:rPr>
          <w:rFonts w:ascii="Times New Roman" w:cs="Times New Roman" w:eastAsia="Times New Roman" w:hAnsi="Times New Roman"/>
          <w:sz w:val="24"/>
          <w:szCs w:val="24"/>
        </w:rPr>
        <w:t xml:space="preserve">4. Olaru C, Langberg S, McCoin NS. A review of the clinical presentation, causes, and diagnostic evaluation of increased intracranial pressure in the emergency department. West J Emerg Med. 2024;25(6):1046-1057.</w:t>
      </w:r>
    </w:p>
    <w:p>
      <w:pPr>
        <w:spacing w:after="120"/>
      </w:pPr>
    </w:p>
    <w:p>
      <w:pPr>
        <w:spacing w:after="0" w:line="480"/>
      </w:pPr>
      <w:r>
        <w:rPr>
          <w:rFonts w:ascii="Times New Roman" w:cs="Times New Roman" w:eastAsia="Times New Roman" w:hAnsi="Times New Roman"/>
          <w:sz w:val="24"/>
          <w:szCs w:val="24"/>
        </w:rPr>
        <w:t xml:space="preserve">5. Saposnik G, Bushnell C, Coutinho JM, et al. Diagnosis and management of cerebral venous thrombosis: a scientific statement from the American Heart Association. Stroke. 2024;55(12):e77-e90. doi:10.1161/STR.0000000000000456</w:t>
      </w:r>
    </w:p>
    <w:p>
      <w:pPr>
        <w:spacing w:after="120"/>
      </w:pPr>
    </w:p>
    <w:p>
      <w:pPr>
        <w:spacing w:after="40" w:line="300"/>
      </w:pPr>
      <w:r>
        <w:rPr>
          <w:rFonts w:ascii="Times New Roman" w:cs="Times New Roman" w:eastAsia="Times New Roman" w:hAnsi="Times New Roman"/>
          <w:sz w:val="24"/>
          <w:szCs w:val="24"/>
        </w:rPr>
        <w:t xml:space="preserve">6. Ropper AH, Klein JP. Cerebral venous thrombosis. N Engl J Med. 2021;385(1):59-64. doi:10.1056/NEJMra2106545</w:t>
      </w:r>
    </w:p>
    <w:p>
      <w:pPr>
        <w:spacing w:after="40" w:line="300"/>
      </w:pPr>
      <w:r>
        <w:rPr>
          <w:rFonts w:ascii="Times New Roman" w:cs="Times New Roman" w:eastAsia="Times New Roman" w:hAnsi="Times New Roman"/>
          <w:sz w:val="24"/>
          <w:szCs w:val="24"/>
        </w:rPr>
        <w:t xml:space="preserve">7. Chen BS, Britton JOT. Expanding the clinical spectrum of idiopathic intracranial hypertension. Curr Opin Neurol. 2023;36(1):80-86.</w:t>
      </w:r>
    </w:p>
    <w:p>
      <w:pPr>
        <w:spacing w:after="0" w:line="480"/>
      </w:pPr>
      <w:r>
        <w:rPr>
          <w:rFonts w:ascii="Times New Roman" w:cs="Times New Roman" w:eastAsia="Times New Roman" w:hAnsi="Times New Roman"/>
          <w:sz w:val="24"/>
          <w:szCs w:val="24"/>
        </w:rPr>
        <w:t xml:space="preserve">8. Toscano S, Lo Fermo S, Reggio E, et al. An update on idiopathic intracranial hypertension in adults: a look at pathophysiology, diagnostic approach and management. J Neurol. 2021;268(9):3249-3268. doi:10.1007/s00415-020-09943-9</w:t>
      </w:r>
    </w:p>
    <w:p>
      <w:pPr>
        <w:spacing w:after="120"/>
      </w:pPr>
    </w:p>
    <w:p>
      <w:pPr>
        <w:spacing w:after="40" w:line="300"/>
      </w:pPr>
      <w:r>
        <w:rPr>
          <w:rFonts w:ascii="Times New Roman" w:cs="Times New Roman" w:eastAsia="Times New Roman" w:hAnsi="Times New Roman"/>
          <w:sz w:val="24"/>
          <w:szCs w:val="24"/>
        </w:rPr>
        <w:t xml:space="preserve">9. Molander LD, Hagen SM, Hansen NS, et al. Patterns of retinal damage and visual long-term consequences in patients with idiopathic intracranial hypertension. Neurology. 2025;104(7):e211234.</w:t>
      </w:r>
    </w:p>
    <w:p>
      <w:pPr>
        <w:spacing w:after="0" w:line="480"/>
      </w:pPr>
      <w:r>
        <w:rPr>
          <w:rFonts w:ascii="Times New Roman" w:cs="Times New Roman" w:eastAsia="Times New Roman" w:hAnsi="Times New Roman"/>
          <w:sz w:val="24"/>
          <w:szCs w:val="24"/>
        </w:rPr>
        <w:t xml:space="preserve">10. von Elm E, Altman DG, Egger M, et al. The Strengthening the 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11. Benchimol EI, Smeeth L, Guttmann A, et al. The REporting of studies Conducted using Observational Routinely-collected health Data (RECORD) statement. PLoS Med. 2015;12(10):e1001885.</w:t>
      </w:r>
    </w:p>
    <w:p>
      <w:pPr>
        <w:spacing w:after="40" w:line="300"/>
      </w:pPr>
      <w:r>
        <w:rPr>
          <w:rFonts w:ascii="Times New Roman" w:cs="Times New Roman" w:eastAsia="Times New Roman" w:hAnsi="Times New Roman"/>
          <w:sz w:val="24"/>
          <w:szCs w:val="24"/>
        </w:rPr>
        <w:t xml:space="preserve">12. Friedman DI, Liu GT, Digre KB. Revised diagnostic criteria for the pseudotumor cerebri syndrome in adults and children. Neurology. 2013;81(13):1159--1165.</w:t>
      </w:r>
    </w:p>
    <w:p>
      <w:pPr>
        <w:spacing w:after="40" w:line="300"/>
      </w:pPr>
      <w:r>
        <w:rPr>
          <w:rFonts w:ascii="Times New Roman" w:cs="Times New Roman" w:eastAsia="Times New Roman" w:hAnsi="Times New Roman"/>
          <w:sz w:val="24"/>
          <w:szCs w:val="24"/>
        </w:rPr>
        <w:t xml:space="preserve">13. Fisher RS, Acevedo C, Arzimanoglou A, et al. ILAE official report: a practical clinical definition of epilepsy. Epilepsia. 2014;55(4):475--482.</w:t>
      </w:r>
    </w:p>
    <w:p>
      <w:pPr>
        <w:spacing w:after="40" w:line="300"/>
      </w:pPr>
      <w:r>
        <w:rPr>
          <w:rFonts w:ascii="Times New Roman" w:cs="Times New Roman" w:eastAsia="Times New Roman" w:hAnsi="Times New Roman"/>
          <w:sz w:val="24"/>
          <w:szCs w:val="24"/>
        </w:rPr>
        <w:t xml:space="preserve">14. Lin DY, Wei LJ. The robust inference for the Cox proportional hazards model. J Am Stat Assoc. 1989;84(408):1074--1078.</w:t>
      </w:r>
    </w:p>
    <w:p>
      <w:pPr>
        <w:spacing w:after="40" w:line="300"/>
      </w:pPr>
      <w:r>
        <w:rPr>
          <w:rFonts w:ascii="Times New Roman" w:cs="Times New Roman" w:eastAsia="Times New Roman" w:hAnsi="Times New Roman"/>
          <w:sz w:val="24"/>
          <w:szCs w:val="24"/>
        </w:rPr>
        <w:t xml:space="preserve">15. Fine JP, Gray RJ. A proportional hazards model for the subdistribution of a competing risk. J Am Stat Assoc. 1999;94(446):1074--1081.</w:t>
      </w:r>
    </w:p>
    <w:p>
      <w:pPr>
        <w:spacing w:after="40" w:line="300"/>
      </w:pPr>
      <w:r>
        <w:rPr>
          <w:rFonts w:ascii="Times New Roman" w:cs="Times New Roman" w:eastAsia="Times New Roman" w:hAnsi="Times New Roman"/>
          <w:sz w:val="24"/>
          <w:szCs w:val="24"/>
        </w:rPr>
        <w:t xml:space="preserve">16. Li F, Morgan KL, Zaslavsky AM. Balancing covariates via propensity score weighting. J Am Stat Assoc. 2018;113(521):390--400.</w:t>
      </w:r>
    </w:p>
    <w:p>
      <w:pPr>
        <w:spacing w:after="40" w:line="300"/>
      </w:pPr>
      <w:r>
        <w:rPr>
          <w:rFonts w:ascii="Times New Roman" w:cs="Times New Roman" w:eastAsia="Times New Roman" w:hAnsi="Times New Roman"/>
          <w:sz w:val="24"/>
          <w:szCs w:val="24"/>
        </w:rPr>
        <w:t xml:space="preserve">17. Lipsitch M, Tchetgen Tchetgen E, Cohen T. Negative controls: a tool for detecting confounding and bias in observational studies. Epidemiology. 2010;21(3):383--388.</w:t>
      </w:r>
    </w:p>
    <w:p>
      <w:pPr>
        <w:spacing w:after="40" w:line="300"/>
      </w:pPr>
      <w:r>
        <w:rPr>
          <w:rFonts w:ascii="Times New Roman" w:cs="Times New Roman" w:eastAsia="Times New Roman" w:hAnsi="Times New Roman"/>
          <w:sz w:val="24"/>
          <w:szCs w:val="24"/>
        </w:rPr>
        <w:t xml:space="preserve">18. Schuemie MJ, Ryan PB, DuMouchel W, Suchard MA, Madigan D. Interpreting observational studies: why empirical calibration is needed to correct p-values. Stat Med. 2014;33(2):209--218.</w:t>
      </w:r>
    </w:p>
    <w:p>
      <w:pPr>
        <w:spacing w:after="40" w:line="300"/>
      </w:pPr>
      <w:r>
        <w:rPr>
          <w:rFonts w:ascii="Times New Roman" w:cs="Times New Roman" w:eastAsia="Times New Roman" w:hAnsi="Times New Roman"/>
          <w:sz w:val="24"/>
          <w:szCs w:val="24"/>
        </w:rPr>
        <w:t xml:space="preserve">19. VanderWeele TJ, Ding P. Sensitivity analysis in observational research: introducing the E-value. Ann Intern Med. 2017;167(4):268--274.</w:t>
      </w:r>
    </w:p>
    <w:p>
      <w:pPr>
        <w:spacing w:after="40" w:line="300"/>
      </w:pPr>
      <w:r>
        <w:rPr>
          <w:rFonts w:ascii="Times New Roman" w:cs="Times New Roman" w:eastAsia="Times New Roman" w:hAnsi="Times New Roman"/>
          <w:sz w:val="24"/>
          <w:szCs w:val="24"/>
        </w:rPr>
        <w:t xml:space="preserve">20. Malow BA, Levy K, Maturen K, Bowes R. Obstructive sleep apnea is common in medically refractory epilepsy patients. Neurology. 2000;55(7):1002--1007.</w:t>
      </w:r>
    </w:p>
    <w:p>
      <w:pPr>
        <w:spacing w:after="40" w:line="300"/>
      </w:pPr>
      <w:r>
        <w:rPr>
          <w:rFonts w:ascii="Times New Roman" w:cs="Times New Roman" w:eastAsia="Times New Roman" w:hAnsi="Times New Roman"/>
          <w:sz w:val="24"/>
          <w:szCs w:val="24"/>
        </w:rPr>
        <w:t xml:space="preserve">21. Reiss WG, Oles KS. Acetazolamide in the treatment of seizures. Ann Pharmacother. 1996;30(5):514--519.</w:t>
      </w:r>
    </w:p>
    <w:p>
      <w:pPr>
        <w:spacing w:after="0" w:line="480"/>
      </w:pPr>
      <w:r>
        <w:rPr>
          <w:rFonts w:ascii="Times New Roman" w:cs="Times New Roman" w:eastAsia="Times New Roman" w:hAnsi="Times New Roman"/>
          <w:sz w:val="24"/>
          <w:szCs w:val="24"/>
        </w:rPr>
        <w:t xml:space="preserve">22. Urbach H, Jamneala G, Mader I, et al. Temporal lobe epilepsy due to meningoencephaloceles into the greater sphenoid wing: a consequence of idiopathic intracranial hypertension? Neuroradiology. 2018;60(1):51--60.</w:t>
      </w:r>
    </w:p>
    <w:p>
      <w:pPr>
        <w:spacing w:after="120"/>
      </w:pPr>
    </w:p>
    <w:p>
      <w:pPr>
        <w:spacing w:after="0" w:line="480"/>
      </w:pPr>
      <w:r>
        <w:rPr>
          <w:rFonts w:ascii="Times New Roman" w:cs="Times New Roman" w:eastAsia="Times New Roman" w:hAnsi="Times New Roman"/>
          <w:sz w:val="24"/>
          <w:szCs w:val="24"/>
        </w:rPr>
        <w:t xml:space="preserve">23. Martinez-Poles J, Toledano R, Jiménez-Huete A, et al. Epilepsy 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24. Sayal AP, Vyas M, Micieli JA. Seizure as the presenting sign of idiopathic intracranial hypertension. BMJ Case Rep. 2022;15(1):e246604.</w:t>
      </w:r>
    </w:p>
    <w:p>
      <w:pPr>
        <w:spacing w:after="0" w:line="480"/>
      </w:pPr>
      <w:r>
        <w:rPr>
          <w:rFonts w:ascii="Times New Roman" w:cs="Times New Roman" w:eastAsia="Times New Roman" w:hAnsi="Times New Roman"/>
          <w:sz w:val="24"/>
          <w:szCs w:val="24"/>
        </w:rPr>
        <w:t xml:space="preserve">25. Bouthour W, Al-Balushi A, Dattilo M, et al. Seizures as the initial 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26. Abou-Hamden A, Lau M, Fabinyi G, et al. Small temporal pole encephaloceles: a treatable cause of "lesion negative" temporal lobe epilepsy. Epilepsia. 2010;51(11):2199--2202.</w:t>
      </w:r>
    </w:p>
    <w:p>
      <w:pPr>
        <w:spacing w:after="40" w:line="300"/>
      </w:pPr>
      <w:r>
        <w:rPr>
          <w:rFonts w:ascii="Times New Roman" w:cs="Times New Roman" w:eastAsia="Times New Roman" w:hAnsi="Times New Roman"/>
          <w:sz w:val="24"/>
          <w:szCs w:val="24"/>
        </w:rPr>
        <w:t xml:space="preserve">27. Toledano R, Jiménez-Huete A, Campo P, et al. Small temporal pole encephalocele: a hidden cause of "normal" MRI temporal lobe epilepsy. Epilepsia. 2016;57(5):841--851.</w:t>
      </w:r>
    </w:p>
    <w:p>
      <w:pPr>
        <w:spacing w:after="40" w:line="300"/>
      </w:pPr>
      <w:r>
        <w:rPr>
          <w:rFonts w:ascii="Times New Roman" w:cs="Times New Roman" w:eastAsia="Times New Roman" w:hAnsi="Times New Roman"/>
          <w:sz w:val="24"/>
          <w:szCs w:val="24"/>
        </w:rPr>
        <w:t xml:space="preserve">28. Panov F, Li Y, Chang EF, et al. Epilepsy with temporal encephalocele: characteristics of electrocorticography and surgical outcome. Epilepsia. 2016;57(2):e33--e38.</w:t>
      </w:r>
    </w:p>
    <w:p>
      <w:pPr>
        <w:spacing w:after="40" w:line="300"/>
      </w:pPr>
      <w:r>
        <w:rPr>
          <w:rFonts w:ascii="Times New Roman" w:cs="Times New Roman" w:eastAsia="Times New Roman" w:hAnsi="Times New Roman"/>
          <w:sz w:val="24"/>
          <w:szCs w:val="24"/>
        </w:rPr>
        <w:t xml:space="preserve">29. Tse GT, Frydman AS, O'Shea MF, et al. Anterior temporal encephaloceles: elusive, important, and rewarding to treat. Epilepsia. 2020;61(12):2675--2684.</w:t>
      </w:r>
    </w:p>
    <w:p>
      <w:pPr>
        <w:spacing w:after="40" w:line="300"/>
      </w:pPr>
      <w:r>
        <w:rPr>
          <w:rFonts w:ascii="Times New Roman" w:cs="Times New Roman" w:eastAsia="Times New Roman" w:hAnsi="Times New Roman"/>
          <w:sz w:val="24"/>
          <w:szCs w:val="24"/>
        </w:rPr>
        <w:t xml:space="preserve">30. Bidot S, Saindane AM, Peragallo JH, et al. Brain imaging in idiopathic intracranial hypertension. J Neuroophthalmol. 2015;35(4):400--411.</w:t>
      </w:r>
    </w:p>
    <w:p>
      <w:pPr>
        <w:spacing w:after="0" w:line="480"/>
      </w:pPr>
      <w:r>
        <w:rPr>
          <w:rFonts w:ascii="Times New Roman" w:cs="Times New Roman" w:eastAsia="Times New Roman" w:hAnsi="Times New Roman"/>
          <w:sz w:val="24"/>
          <w:szCs w:val="24"/>
        </w:rPr>
        <w:t xml:space="preserve">31. Ben-Menachem E. Weight issues for people with epilepsy: a review. Epilepsia. 2007;48(Suppl 9):42--45. # TABLES AND FIGURE LEGENDS Tables 1--3 and Figure legends should be retained from the source manuscript, with the editorial/statistical revisions noted below. The table values were not independently recomputed from raw data in this editorial revision.</w:t>
      </w:r>
    </w:p>
    <w:p>
      <w:pPr>
        <w:spacing w:after="120"/>
      </w:pP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HR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37814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28384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3A. </w:t>
      </w:r>
      <w:r>
        <w:rPr>
          <w:rFonts w:ascii="Times New Roman" w:cs="Times New Roman" w:eastAsia="Times New Roman" w:hAnsi="Times New Roman"/>
          <w:sz w:val="21"/>
          <w:szCs w:val="21"/>
        </w:rPr>
        <w:t xml:space="preserve">Empirical calibration across 11 negative-control outcomes. Each orange point is one negative control, plotted by its baseline prevalence ratio and its post-index hazard ratio; the line is the fitted relationship (r = 0.66, p = 0.026) and the shaded band its 95% prediction interval. The open circle is the predicted detection-attributable hazard ratio at baseline balance, 1.04 (95% CI 0.37-2.90). The diamond is the observed seizure estimate, which lies inside that interval.</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3B. </w:t>
      </w:r>
      <w:r>
        <w:rPr>
          <w:rFonts w:ascii="Times New Roman" w:cs="Times New Roman" w:eastAsia="Times New Roman" w:hAnsi="Times New Roman"/>
          <w:sz w:val="21"/>
          <w:szCs w:val="21"/>
        </w:rPr>
        <w:t xml:space="preserve">Direction of movement of each outcome under adjustment for six independent measures of pre-index healthcare contact. Circles show the median change across the 11 negative-control outcomes; diamonds show the seizure outcome. All 66 control-by-measure combinations moved toward the null, whereas the seizure estimate moved away from the null under all six measures.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791c29457c1f3b20c3698054abb6d7ef4208c433.png"/><Relationship Id="rId11" Type="http://schemas.openxmlformats.org/officeDocument/2006/relationships/image" Target="media/96bc3fe64f2e42342a0d533340736f44bdff9f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2026-09-25T15:35:40.118Z</dcterms:created>
  <dcterms:modified xsi:type="dcterms:W3CDTF">2026-09-25T15:35:40.118Z</dcterms:modified>
</cp:coreProperties>
</file>

<file path=docProps/custom.xml><?xml version="1.0" encoding="utf-8"?>
<Properties xmlns="http://schemas.openxmlformats.org/officeDocument/2006/custom-properties" xmlns:vt="http://schemas.openxmlformats.org/officeDocument/2006/docPropsVTypes"/>
</file>