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Incident Seizures and Epilepsy Following Idiopathic Intracranial Hypertension: A Matched Cohort Study</w:t>
      </w:r>
    </w:p>
    <w:p>
      <w:pPr>
        <w:spacing w:after="120"/>
      </w:pPr>
    </w:p>
    <w:p>
      <w:pPr>
        <w:spacing w:after="0" w:line="480"/>
      </w:pPr>
      <w:r>
        <w:rPr>
          <w:rFonts w:ascii="Times New Roman" w:cs="Times New Roman" w:eastAsia="Times New Roman" w:hAnsi="Times New Roman"/>
          <w:sz w:val="24"/>
          <w:szCs w:val="24"/>
        </w:rPr>
        <w:t xml:space="preserve">Selim Tarabeah¹, [Co-author names], Michelle Lin¹</w:t>
      </w:r>
    </w:p>
    <w:p>
      <w:pPr>
        <w:spacing w:after="120"/>
      </w:pPr>
    </w:p>
    <w:p>
      <w:pPr>
        <w:spacing w:after="0" w:line="480"/>
      </w:pPr>
      <w:r>
        <w:rPr>
          <w:rFonts w:ascii="Times New Roman" w:cs="Times New Roman" w:eastAsia="Times New Roman" w:hAnsi="Times New Roman"/>
          <w:sz w:val="24"/>
          <w:szCs w:val="24"/>
        </w:rPr>
        <w:t xml:space="preserve">¹ Department of Neurology, Mayo Clinic, Jacksonville, Florida, USA</w:t>
      </w:r>
    </w:p>
    <w:p>
      <w:pPr>
        <w:spacing w:after="120"/>
      </w:pPr>
    </w:p>
    <w:p>
      <w:pPr>
        <w:spacing w:after="0" w:line="480"/>
      </w:pPr>
      <w:r>
        <w:rPr>
          <w:rFonts w:ascii="Times New Roman" w:cs="Times New Roman" w:eastAsia="Times New Roman" w:hAnsi="Times New Roman"/>
          <w:sz w:val="24"/>
          <w:szCs w:val="24"/>
        </w:rPr>
        <w:t xml:space="preserve">[Additional author affiliations]</w:t>
      </w:r>
    </w:p>
    <w:p>
      <w:pPr>
        <w:spacing w:after="120"/>
      </w:pPr>
    </w:p>
    <w:p>
      <w:pPr>
        <w:spacing w:after="0" w:line="480"/>
      </w:pPr>
      <w:r>
        <w:rPr>
          <w:rFonts w:ascii="Times New Roman" w:cs="Times New Roman" w:eastAsia="Times New Roman" w:hAnsi="Times New Roman"/>
          <w:sz w:val="24"/>
          <w:szCs w:val="24"/>
        </w:rPr>
        <w:t xml:space="preserve">Running title: Seizures after idiopathic intracranial hypertension</w:t>
      </w:r>
    </w:p>
    <w:p>
      <w:pPr>
        <w:spacing w:after="120"/>
      </w:pPr>
    </w:p>
    <w:p>
      <w:pPr>
        <w:spacing w:after="0" w:line="480"/>
      </w:pPr>
      <w:r>
        <w:rPr>
          <w:rFonts w:ascii="Times New Roman" w:cs="Times New Roman" w:eastAsia="Times New Roman" w:hAnsi="Times New Roman"/>
          <w:sz w:val="24"/>
          <w:szCs w:val="24"/>
        </w:rPr>
        <w:t xml:space="preserve">Correspondence: [Name, postal address, telephone, email]</w:t>
      </w:r>
    </w:p>
    <w:p>
      <w:pPr>
        <w:spacing w:after="120"/>
      </w:pPr>
    </w:p>
    <w:p>
      <w:pPr>
        <w:spacing w:after="0" w:line="480"/>
      </w:pPr>
      <w:r>
        <w:rPr>
          <w:rFonts w:ascii="Times New Roman" w:cs="Times New Roman" w:eastAsia="Times New Roman" w:hAnsi="Times New Roman"/>
          <w:sz w:val="24"/>
          <w:szCs w:val="24"/>
        </w:rPr>
        <w:t xml:space="preserve">Word count: main text ~4,218; abstract 380</w:t>
      </w:r>
    </w:p>
    <w:p>
      <w:pPr>
        <w:spacing w:after="120"/>
      </w:pPr>
    </w:p>
    <w:p>
      <w:pPr>
        <w:pStyle w:val="Heading1"/>
        <w:spacing w:after="180" w:before="360"/>
      </w:pPr>
      <w:r>
        <w:rPr>
          <w:rFonts w:ascii="Times New Roman" w:cs="Times New Roman" w:eastAsia="Times New Roman" w:hAnsi="Times New Roman"/>
          <w:b/>
          <w:bCs/>
          <w:sz w:val="28"/>
          <w:szCs w:val="28"/>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KEY POINTS</w:t>
      </w:r>
    </w:p>
    <w:p>
      <w:pPr>
        <w:spacing w:after="8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8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8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8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8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8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8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pStyle w:val="Heading1"/>
        <w:pageBreakBefore/>
        <w:spacing w:after="180" w:before="360"/>
      </w:pPr>
      <w:r>
        <w:rPr>
          <w:rFonts w:ascii="Times New Roman" w:cs="Times New Roman" w:eastAsia="Times New Roman" w:hAnsi="Times New Roman"/>
          <w:b/>
          <w:bCs/>
          <w:sz w:val="28"/>
          <w:szCs w:val="28"/>
        </w:rPr>
        <w:t xml:space="preserve">1 | INTRODUCTION</w:t>
      </w:r>
    </w:p>
    <w:p>
      <w:pPr>
        <w:spacing w:after="0" w:line="480"/>
      </w:pPr>
      <w:r>
        <w:rPr>
          <w:rFonts w:ascii="Times New Roman" w:cs="Times New Roman" w:eastAsia="Times New Roman" w:hAnsi="Times New Roman"/>
          <w:sz w:val="24"/>
          <w:szCs w:val="24"/>
        </w:rPr>
        <w:t xml:space="preserve">Idiopathic intracranial hypertension (IIH) is a disorder characterized by elevated cerebrospinal fluid (CSF) pressure in the absence of an identifiable secondary cause. It occurs predominantly in women of reproductive age with obesity, and its incidence continues to rise in parallel with the global obesity epidemic.1 According to the revised Friedman criteria, IIH is defined by papilledema or abducens nerve palsy, elevated lumbar puncture opening pressure, normal CSF composition, a normal neurologic examination apart from cranial nerve abnormalities, and neuroimaging demonstrating no space-occupying lesion, hydrocephalus, or cerebral venous sinus thrombosis.2 A normal mental status and the absence of focal neurologic deficits are themselves diagnostic requirements. Natural-history studies describe headache, transient visual obscurations, pulsatile tinnitus, visual loss, and diplopia as the characteristic clinical spectrum of IIH, without an established association with seizures or epilepsy either at presentation or during long-term follow-up.1,3,4,5</w:t>
      </w:r>
    </w:p>
    <w:p>
      <w:pPr>
        <w:spacing w:after="120"/>
      </w:pPr>
    </w:p>
    <w:p>
      <w:pPr>
        <w:spacing w:after="0" w:line="480"/>
      </w:pPr>
      <w:r>
        <w:rPr>
          <w:rFonts w:ascii="Times New Roman" w:cs="Times New Roman" w:eastAsia="Times New Roman" w:hAnsi="Times New Roman"/>
          <w:sz w:val="24"/>
          <w:szCs w:val="24"/>
        </w:rPr>
        <w:t xml:space="preserve">This distinction has important diagnostic implications as IIH remains a diagnosis of exclusion. Among the most important mimics is cerebral venous thrombosis, which can reproduce the headache, papilledema, and sixth-nerve palsy characteristic of IIH but frequently presents with seizures or focal neurologic deficits due to cortical venous involvement.6,7 Consequently, diagnostic paradigms have long distinguished pressure-mediated disease without seizures from structural venous pathology in which seizures are common. This leads to the view that epilepsy represents evidence against rather than a consequence of IIH.</w:t>
      </w:r>
    </w:p>
    <w:p>
      <w:pPr>
        <w:spacing w:after="120"/>
      </w:pPr>
    </w:p>
    <w:p>
      <w:pPr>
        <w:spacing w:after="0" w:line="480"/>
      </w:pPr>
      <w:r>
        <w:rPr>
          <w:rFonts w:ascii="Times New Roman" w:cs="Times New Roman" w:eastAsia="Times New Roman" w:hAnsi="Times New Roman"/>
          <w:sz w:val="24"/>
          <w:szCs w:val="24"/>
        </w:rPr>
        <w:t xml:space="preserve">However, an indirect mechanistic link between IIH and epilepsy has been proposed. Chronic intracranial hypertension may lead to skull-base remodeling and osseous erosion, resulting in meningoceles and, most notably, temporal lobe encephaloceles through the middle cranial fossa. These structural abnormalities have been described in patients with IIH, spontaneous skull-base CSF leaks, and drug-resistant temporal lobe epilepsy, suggesting that sustained elevations in intracranial pressure could create a substrate for epileptogenesis over time rather than precipitating seizures acutely.8 Whether this anatomic association translates into an increased population-level risk of incident seizures or epilepsy remains unknown. Current prognostic frameworks for IIH therefore remain focused on visual outcomes, headache burden, and disease recurrence, with little consideration of seizure-related outcomes.9,10</w:t>
      </w:r>
    </w:p>
    <w:p>
      <w:pPr>
        <w:spacing w:after="120"/>
      </w:pPr>
    </w:p>
    <w:p>
      <w:pPr>
        <w:spacing w:after="0" w:line="480"/>
      </w:pPr>
      <w:r>
        <w:rPr>
          <w:rFonts w:ascii="Times New Roman" w:cs="Times New Roman" w:eastAsia="Times New Roman" w:hAnsi="Times New Roman"/>
          <w:sz w:val="24"/>
          <w:szCs w:val="24"/>
        </w:rPr>
        <w:t xml:space="preserve">We conducted a matched retrospective cohort study to determine whether IIH is associated with an increased risk of incident seizures or epilepsy compared with matched individuals without IIH. We additionally sought to characterize the magnitude and temporal pattern of any observed association and to evaluate its robustness using a prespecified negative-control framework designed to assess potential differential ascertainment bias.</w:t>
      </w:r>
    </w:p>
    <w:p>
      <w:pPr>
        <w:spacing w:after="120"/>
      </w:pPr>
    </w:p>
    <w:p>
      <w:pPr>
        <w:pStyle w:val="Heading1"/>
        <w:spacing w:after="180" w:before="360"/>
      </w:pPr>
      <w:r>
        <w:rPr>
          <w:rFonts w:ascii="Times New Roman" w:cs="Times New Roman" w:eastAsia="Times New Roman" w:hAnsi="Times New Roman"/>
          <w:b/>
          <w:bCs/>
          <w:sz w:val="28"/>
          <w:szCs w:val="28"/>
        </w:rPr>
        <w:t xml:space="preserve">2 | METHODS</w:t>
      </w:r>
    </w:p>
    <w:p>
      <w:pPr>
        <w:pStyle w:val="Heading2"/>
        <w:spacing w:after="150" w:before="300"/>
      </w:pPr>
      <w:r>
        <w:rPr>
          <w:rFonts w:ascii="Times New Roman" w:cs="Times New Roman" w:eastAsia="Times New Roman" w:hAnsi="Times New Roman"/>
          <w:b/>
          <w:bCs/>
          <w:sz w:val="26"/>
          <w:szCs w:val="26"/>
        </w:rPr>
        <w:t xml:space="preserve">2.1 | Study design, data source, and ethics</w:t>
      </w:r>
    </w:p>
    <w:p>
      <w:pPr>
        <w:spacing w:after="0" w:line="480"/>
      </w:pPr>
      <w:r>
        <w:rPr>
          <w:rFonts w:ascii="Times New Roman" w:cs="Times New Roman" w:eastAsia="Times New Roman" w:hAnsi="Times New Roman"/>
          <w:sz w:val="24"/>
          <w:szCs w:val="24"/>
        </w:rPr>
        <w:t xml:space="preserve">This retrospective matched cohort study used the integrated electronic health record of Mayo Clinic (EHR), covering Mayo Clinic sites in Minnesota, Florida, and Arizona. The record contains inpatient, outpatient, emergency, and procedural encounters, together with linked diagnosis codes, problem lists, medication records, flowsheet vital signs, and vital status. Index dates ranged from June 7, 2002, through November 11, 2025, and the data were frozen on September 3, 2026.</w:t>
      </w:r>
    </w:p>
    <w:p>
      <w:pPr>
        <w:spacing w:after="120"/>
      </w:pPr>
    </w:p>
    <w:p>
      <w:pPr>
        <w:spacing w:after="0" w:line="480"/>
      </w:pPr>
      <w:r>
        <w:rPr>
          <w:rFonts w:ascii="Times New Roman" w:cs="Times New Roman" w:eastAsia="Times New Roman" w:hAnsi="Times New Roman"/>
          <w:sz w:val="24"/>
          <w:szCs w:val="24"/>
        </w:rPr>
        <w:t xml:space="preserve">This report follows the STROBE and RECORD reporting guidelines.11,12 The study was approved by the Mayo Clinic Institutional Review Board, which waived the requirement for informed consent.</w:t>
      </w:r>
    </w:p>
    <w:p>
      <w:pPr>
        <w:spacing w:after="120"/>
      </w:pPr>
    </w:p>
    <w:p>
      <w:pPr>
        <w:pStyle w:val="Heading2"/>
        <w:spacing w:after="150" w:before="300"/>
      </w:pPr>
      <w:r>
        <w:rPr>
          <w:rFonts w:ascii="Times New Roman" w:cs="Times New Roman" w:eastAsia="Times New Roman" w:hAnsi="Times New Roman"/>
          <w:b/>
          <w:bCs/>
          <w:sz w:val="26"/>
          <w:szCs w:val="26"/>
        </w:rPr>
        <w:t xml:space="preserve">2.2 | Study population</w:t>
      </w:r>
    </w:p>
    <w:p>
      <w:pPr>
        <w:spacing w:after="0" w:line="480"/>
      </w:pPr>
      <w:r>
        <w:rPr>
          <w:rFonts w:ascii="Times New Roman" w:cs="Times New Roman" w:eastAsia="Times New Roman" w:hAnsi="Times New Roman"/>
          <w:sz w:val="24"/>
          <w:szCs w:val="24"/>
        </w:rPr>
        <w:t xml:space="preserve">Patients with IIH. Adolescents and adults were identified using an IIH diagnosis code (ICD-9-CM 348.2 or ICD-10-CM G93.2, in any position) together with a lumbar puncture record (CPT 62270 or 62328, or an electronic lumbar puncture procedure entry). The index date was the date of the diagnostic lumbar puncture. IIH diagnoses were not adjudicated against the revised diagnostic criteria; opening pressure was abstracted when available.2 The complete code list is provided in eTable 1. Comparators were patients with no IIH diagnosis code at any time in the available record.</w:t>
      </w:r>
    </w:p>
    <w:p>
      <w:pPr>
        <w:spacing w:after="120"/>
      </w:pPr>
    </w:p>
    <w:p>
      <w:pPr>
        <w:spacing w:after="0" w:line="480"/>
      </w:pPr>
      <w:r>
        <w:rPr>
          <w:rFonts w:ascii="Times New Roman" w:cs="Times New Roman" w:eastAsia="Times New Roman" w:hAnsi="Times New Roman"/>
          <w:sz w:val="24"/>
          <w:szCs w:val="24"/>
        </w:rPr>
        <w:t xml:space="preserve">Eligibility criteria. Patients with a history of ischemic stroke, intracerebral or subarachnoid hemorrhage, craniotomy, brain tumor, or traumatic brain injury were excluded from the comparator group, because these conditions are independent risk factors for seizures. This exclusion was applied at the stage of comparator extraction and </w:t>
      </w:r>
      <w:r>
        <w:rPr>
          <w:rFonts w:ascii="Times New Roman" w:cs="Times New Roman" w:eastAsia="Times New Roman" w:hAnsi="Times New Roman"/>
          <w:b/>
          <w:bCs/>
          <w:sz w:val="24"/>
          <w:szCs w:val="24"/>
        </w:rPr>
        <w:t xml:space="preserve">was not applied to the IIH group</w:t>
      </w:r>
      <w:r>
        <w:rPr>
          <w:rFonts w:ascii="Times New Roman" w:cs="Times New Roman" w:eastAsia="Times New Roman" w:hAnsi="Times New Roman"/>
          <w:sz w:val="24"/>
          <w:szCs w:val="24"/>
        </w:rPr>
        <w:t xml:space="preserve">, for whom the corresponding diagnosis extract was not available. The asymmetry is therefore a known deviation from the intended design rather than an analytic choice, and its expected direction is to remove seizure-prone individuals from the comparator group only, which would bias the hazard ratio away from the null. It is quantified no further here because the data needed to apply the same exclusion to the IIH group were not obtainable; a symmetric re-analysis is the first priority for any future revision.</w:t>
      </w:r>
    </w:p>
    <w:p>
      <w:pPr>
        <w:spacing w:after="120"/>
      </w:pPr>
    </w:p>
    <w:p>
      <w:pPr>
        <w:spacing w:after="0" w:line="480"/>
      </w:pPr>
      <w:r>
        <w:rPr>
          <w:rFonts w:ascii="Times New Roman" w:cs="Times New Roman" w:eastAsia="Times New Roman" w:hAnsi="Times New Roman"/>
          <w:sz w:val="24"/>
          <w:szCs w:val="24"/>
        </w:rPr>
        <w:t xml:space="preserve">Both groups required at least one dated clinical encounter during the 12 months before the index date. Clinical encounters were distinguished from administrative activity (messages, orders, refills, and record maintenance) using an encounter-type list applied identically to both groups; approximately 60% of encounter rows were administrative.</w:t>
      </w:r>
    </w:p>
    <w:p>
      <w:pPr>
        <w:spacing w:after="120"/>
      </w:pPr>
    </w:p>
    <w:p>
      <w:pPr>
        <w:spacing w:after="0" w:line="480"/>
      </w:pPr>
      <w:r>
        <w:rPr>
          <w:rFonts w:ascii="Times New Roman" w:cs="Times New Roman" w:eastAsia="Times New Roman" w:hAnsi="Times New Roman"/>
          <w:sz w:val="24"/>
          <w:szCs w:val="24"/>
        </w:rPr>
        <w:t xml:space="preserve">Patients with a qualifying seizure diagnosis or chronic antiseizure medication (ASM) use on or before the end of the 180-day washout were excluded. Patients without follow-up beyond the washout were also excluded. All analyses were repeated using an alternative definition in which every encounter row was treated as a contact.</w:t>
      </w:r>
    </w:p>
    <w:p>
      <w:pPr>
        <w:spacing w:after="120"/>
      </w:pPr>
    </w:p>
    <w:p>
      <w:pPr>
        <w:pStyle w:val="Heading2"/>
        <w:spacing w:after="150" w:before="300"/>
      </w:pPr>
      <w:r>
        <w:rPr>
          <w:rFonts w:ascii="Times New Roman" w:cs="Times New Roman" w:eastAsia="Times New Roman" w:hAnsi="Times New Roman"/>
          <w:b/>
          <w:bCs/>
          <w:sz w:val="26"/>
          <w:szCs w:val="26"/>
        </w:rPr>
        <w:t xml:space="preserve">2.3 | Index date and matching</w:t>
      </w:r>
    </w:p>
    <w:p>
      <w:pPr>
        <w:spacing w:after="0" w:line="480"/>
      </w:pPr>
      <w:r>
        <w:rPr>
          <w:rFonts w:ascii="Times New Roman" w:cs="Times New Roman" w:eastAsia="Times New Roman" w:hAnsi="Times New Roman"/>
          <w:sz w:val="24"/>
          <w:szCs w:val="24"/>
        </w:rPr>
        <w:t xml:space="preserve">Each comparator inherited the index date of its matched case. Eligibility, washout, exclusion of prevalent seizures, covariate measurement, and the beginning of follow-up were therefore anchored to the same calendar date within each matched set. Matching was performed without replacement on sex, age, BMI, and BMI calendar year (within 2 years), at a variable ratio of up to 1:4.</w:t>
      </w:r>
    </w:p>
    <w:p>
      <w:pPr>
        <w:spacing w:after="120"/>
      </w:pPr>
    </w:p>
    <w:p>
      <w:pPr>
        <w:spacing w:after="0" w:line="480"/>
      </w:pPr>
      <w:r>
        <w:rPr>
          <w:rFonts w:ascii="Times New Roman" w:cs="Times New Roman" w:eastAsia="Times New Roman" w:hAnsi="Times New Roman"/>
          <w:sz w:val="24"/>
          <w:szCs w:val="24"/>
        </w:rPr>
        <w:t xml:space="preserve">Matching used four sequential passes through a randomly ordered case list, with five prespecified tiers of decreasing stringency: (1) race, BMI calendar year, age within 3 years and BMI within 3 kg/m²; (2) the same without race; (3) the same without BMI calendar year; (4) age within 3 years and BMI within 5 kg/m²; and (5) age within 5 years and BMI within 5 kg/m². Race was specified but was unrecorded for every patient with IIH and therefore never constrained the match. BMI was taken from the flowsheet measurement closest in calendar time to the index date.</w:t>
      </w:r>
    </w:p>
    <w:p>
      <w:pPr>
        <w:spacing w:after="120"/>
      </w:pPr>
    </w:p>
    <w:p>
      <w:pPr>
        <w:pStyle w:val="Heading2"/>
        <w:spacing w:after="150" w:before="300"/>
      </w:pPr>
      <w:r>
        <w:rPr>
          <w:rFonts w:ascii="Times New Roman" w:cs="Times New Roman" w:eastAsia="Times New Roman" w:hAnsi="Times New Roman"/>
          <w:b/>
          <w:bCs/>
          <w:sz w:val="26"/>
          <w:szCs w:val="26"/>
        </w:rPr>
        <w:t xml:space="preserve">2.4 | Outcomes</w:t>
      </w:r>
    </w:p>
    <w:p>
      <w:pPr>
        <w:spacing w:after="0" w:line="480"/>
      </w:pPr>
      <w:r>
        <w:rPr>
          <w:rFonts w:ascii="Times New Roman" w:cs="Times New Roman" w:eastAsia="Times New Roman" w:hAnsi="Times New Roman"/>
          <w:sz w:val="24"/>
          <w:szCs w:val="24"/>
        </w:rPr>
        <w:t xml:space="preserve">The primary outcome was incident seizure or epilepsy after the 180-day washout, defined by a single rule applied to both groups. The first criterion was a qualifying diagnosis code in the diagnosis record or problem list: ICD-10-CM G40.x or R56.x, or ICD-9-CM 345.x or 780.39. The second criterion was an ASM prescription or medication record indicating treatment continued for at least 180 days.</w:t>
      </w:r>
    </w:p>
    <w:p>
      <w:pPr>
        <w:spacing w:after="120"/>
      </w:pPr>
    </w:p>
    <w:p>
      <w:pPr>
        <w:spacing w:after="0" w:line="480"/>
      </w:pPr>
      <w:r>
        <w:rPr>
          <w:rFonts w:ascii="Times New Roman" w:cs="Times New Roman" w:eastAsia="Times New Roman" w:hAnsi="Times New Roman"/>
          <w:sz w:val="24"/>
          <w:szCs w:val="24"/>
        </w:rPr>
        <w:t xml:space="preserve">Febrile, post-traumatic, psychogenic nonepileptic or conversion seizures, family history of seizures, migraine diagnoses, and ASM adverse-effect codes were not considered qualifying outcomes. Topiramate and acetazolamide were not counted as ASMs because they are commonly used to treat IIH and have antiseizure activity. Gabapentin, pregabalin, and benzodiazepines were also excluded because they have common analgesic and procedural indications. The event date was the earlier of the first qualifying diagnosis and the first qualifying medication record.</w:t>
      </w:r>
    </w:p>
    <w:p>
      <w:pPr>
        <w:spacing w:after="120"/>
      </w:pPr>
    </w:p>
    <w:p>
      <w:pPr>
        <w:spacing w:after="0" w:line="480"/>
      </w:pPr>
      <w:r>
        <w:rPr>
          <w:rFonts w:ascii="Times New Roman" w:cs="Times New Roman" w:eastAsia="Times New Roman" w:hAnsi="Times New Roman"/>
          <w:sz w:val="24"/>
          <w:szCs w:val="24"/>
        </w:rPr>
        <w:t xml:space="preserve">Because the EHR did not reliably permit classification by seizure type or by provoked versus unprovoked status, the primary outcome represents a clinically recognized seizure or epilepsy event rather than epilepsy as defined by the International League Against Epilepsy (ILAE).13 Epilepsy-specific codes (G40.x/345.x) were analyzed separately as a more specific approximation of epilepsy.</w:t>
      </w:r>
    </w:p>
    <w:p>
      <w:pPr>
        <w:spacing w:after="120"/>
      </w:pPr>
    </w:p>
    <w:p>
      <w:pPr>
        <w:spacing w:after="0" w:line="480"/>
      </w:pPr>
      <w:r>
        <w:rPr>
          <w:rFonts w:ascii="Times New Roman" w:cs="Times New Roman" w:eastAsia="Times New Roman" w:hAnsi="Times New Roman"/>
          <w:sz w:val="24"/>
          <w:szCs w:val="24"/>
        </w:rPr>
        <w:t xml:space="preserve">Among patients who experienced a primary outcome, a secondary outcome classified events as recurrent seizure or epilepsy if there was an epilepsy-specific diagnosis code, two or more documented seizure events, or indefinite ASM therapy.</w:t>
      </w:r>
    </w:p>
    <w:p>
      <w:pPr>
        <w:spacing w:after="120"/>
      </w:pPr>
    </w:p>
    <w:p>
      <w:pPr>
        <w:spacing w:after="0" w:line="480"/>
      </w:pPr>
      <w:r>
        <w:rPr>
          <w:rFonts w:ascii="Times New Roman" w:cs="Times New Roman" w:eastAsia="Times New Roman" w:hAnsi="Times New Roman"/>
          <w:sz w:val="24"/>
          <w:szCs w:val="24"/>
        </w:rPr>
        <w:t xml:space="preserve">Outcome ascertainment was evaluated by manual chart review of a random sample of 50 patients with IIH and 50 comparators who met the electronic outcome definition. Positive predictive value (PPV) was calculated as the proportion of electronically identified events confirmed as clinical seizures, with exact binomial 95% confidence intervals.</w:t>
      </w:r>
    </w:p>
    <w:p>
      <w:pPr>
        <w:spacing w:after="120"/>
      </w:pPr>
    </w:p>
    <w:p>
      <w:pPr>
        <w:pStyle w:val="Heading2"/>
        <w:spacing w:after="150" w:before="300"/>
      </w:pPr>
      <w:r>
        <w:rPr>
          <w:rFonts w:ascii="Times New Roman" w:cs="Times New Roman" w:eastAsia="Times New Roman" w:hAnsi="Times New Roman"/>
          <w:b/>
          <w:bCs/>
          <w:sz w:val="26"/>
          <w:szCs w:val="26"/>
        </w:rPr>
        <w:t xml:space="preserve">2.5 | Follow-up and covariates</w:t>
      </w:r>
    </w:p>
    <w:p>
      <w:pPr>
        <w:spacing w:after="0" w:line="480"/>
      </w:pPr>
      <w:r>
        <w:rPr>
          <w:rFonts w:ascii="Times New Roman" w:cs="Times New Roman" w:eastAsia="Times New Roman" w:hAnsi="Times New Roman"/>
          <w:sz w:val="24"/>
          <w:szCs w:val="24"/>
        </w:rPr>
        <w:t xml:space="preserve">Follow-up began at the end of the 180-day washout and ended at the earliest of the primary outcome, death, the last attended clinical encounter, the data-freeze date, or 3 years. OSA, hypertension, polycystic ovary syndrome (PCOS), and bariatric surgery were identified from diagnosis or procedure codes recorded on or before the index date. Pre-index healthcare contact was measured as the number of clinical encounters during the preceding 12 months.</w:t>
      </w:r>
    </w:p>
    <w:p>
      <w:pPr>
        <w:spacing w:after="120"/>
      </w:pPr>
    </w:p>
    <w:p>
      <w:pPr>
        <w:spacing w:after="0" w:line="480"/>
      </w:pPr>
      <w:r>
        <w:rPr>
          <w:rFonts w:ascii="Times New Roman" w:cs="Times New Roman" w:eastAsia="Times New Roman" w:hAnsi="Times New Roman"/>
          <w:sz w:val="24"/>
          <w:szCs w:val="24"/>
        </w:rPr>
        <w:t xml:space="preserve">The use of last attended clinical encounter as a censoring date was intended to avoid attributing person-time to individuals no longer observable in the health system. Because healthcare contact is itself related to the detection process, however, informative censoring is a potential source of bias and was considered in interpretation.</w:t>
      </w:r>
    </w:p>
    <w:p>
      <w:pPr>
        <w:spacing w:after="120"/>
      </w:pPr>
    </w:p>
    <w:p>
      <w:pPr>
        <w:pStyle w:val="Heading2"/>
        <w:spacing w:after="150" w:before="300"/>
      </w:pPr>
      <w:r>
        <w:rPr>
          <w:rFonts w:ascii="Times New Roman" w:cs="Times New Roman" w:eastAsia="Times New Roman" w:hAnsi="Times New Roman"/>
          <w:b/>
          <w:bCs/>
          <w:sz w:val="26"/>
          <w:szCs w:val="26"/>
        </w:rPr>
        <w:t xml:space="preserve">2.6 | Statistical analysis</w:t>
      </w:r>
    </w:p>
    <w:p>
      <w:pPr>
        <w:spacing w:after="0" w:line="480"/>
      </w:pPr>
      <w:r>
        <w:rPr>
          <w:rFonts w:ascii="Times New Roman" w:cs="Times New Roman" w:eastAsia="Times New Roman" w:hAnsi="Times New Roman"/>
          <w:sz w:val="24"/>
          <w:szCs w:val="24"/>
        </w:rPr>
        <w:t xml:space="preserve">Incidence rates are reported per 1,000 person-years with exact Poisson 95% confidence intervals. Cause-specific hazard ratios (HRs) were estimated using Cox regression with exposure as the sole model term because age, sex, and BMI were addressed through matching. Variance was estimated using a robust sandwich estimator clustered by matched set.14 Proportional hazards were assessed using scaled Schoenfeld residuals. Cumulative incidence was estimated using the Aalen--Johansen estimator with death as a competing event, and a Fine--Gray model was used to estimate the corresponding subdistribution HR.15 All tests were two-sided.</w:t>
      </w:r>
    </w:p>
    <w:p>
      <w:pPr>
        <w:spacing w:after="120"/>
      </w:pPr>
    </w:p>
    <w:p>
      <w:pPr>
        <w:spacing w:after="0" w:line="480"/>
      </w:pPr>
      <w:r>
        <w:rPr>
          <w:rFonts w:ascii="Times New Roman" w:cs="Times New Roman" w:eastAsia="Times New Roman" w:hAnsi="Times New Roman"/>
          <w:sz w:val="24"/>
          <w:szCs w:val="24"/>
        </w:rPr>
        <w:t xml:space="preserve">Prespecified sensitivity analyses included: (1) diagnosis codes without the medication criterion; (2) epilepsy-specific codes only; (3) restriction to IIH cases with opening pressure of at least 25 cm H₂O and their matched comparators; (4) counting all encounter rows as healthcare contact; (5) landmark analyses excluding events occurring during the first 30, 90, or 180 days after the washout; (6) overlap weighting16; and (7) restriction to complete matched sets.</w:t>
      </w:r>
    </w:p>
    <w:p>
      <w:pPr>
        <w:spacing w:after="120"/>
      </w:pPr>
    </w:p>
    <w:p>
      <w:pPr>
        <w:spacing w:after="0" w:line="480"/>
      </w:pPr>
      <w:r>
        <w:rPr>
          <w:rFonts w:ascii="Times New Roman" w:cs="Times New Roman" w:eastAsia="Times New Roman" w:hAnsi="Times New Roman"/>
          <w:sz w:val="24"/>
          <w:szCs w:val="24"/>
        </w:rPr>
        <w:t xml:space="preserve">The overlap-weighting propensity model included age, sex, BMI, and the logarithm of pre-index visits. Effect modification by age, BMI, and sex was assessed using Wald tests for interaction. OSA, PCOS, and hypertension remained imbalanced after matching; therefore, a comorbidity-adjusted analysis was performed after the primary analysis. This analysis was prespecified for interpretation after observing the post-matching imbalance and was reported regardless of direction of effect.</w:t>
      </w:r>
    </w:p>
    <w:p>
      <w:pPr>
        <w:spacing w:after="120"/>
      </w:pPr>
    </w:p>
    <w:p>
      <w:pPr>
        <w:spacing w:after="0" w:line="480"/>
      </w:pPr>
      <w:r>
        <w:rPr>
          <w:rFonts w:ascii="Times New Roman" w:cs="Times New Roman" w:eastAsia="Times New Roman" w:hAnsi="Times New Roman"/>
          <w:sz w:val="24"/>
          <w:szCs w:val="24"/>
        </w:rPr>
        <w:t xml:space="preserve">A covariate was considered a potential confounder when it was both imbalanced after matching (absolute SMD \&gt;0.10) and associated with the outcome. Analyses were performed in R.</w:t>
      </w:r>
    </w:p>
    <w:p>
      <w:pPr>
        <w:spacing w:after="120"/>
      </w:pPr>
    </w:p>
    <w:p>
      <w:pPr>
        <w:pStyle w:val="Heading2"/>
        <w:spacing w:after="150" w:before="300"/>
      </w:pPr>
      <w:r>
        <w:rPr>
          <w:rFonts w:ascii="Times New Roman" w:cs="Times New Roman" w:eastAsia="Times New Roman" w:hAnsi="Times New Roman"/>
          <w:b/>
          <w:bCs/>
          <w:sz w:val="26"/>
          <w:szCs w:val="26"/>
        </w:rPr>
        <w:t xml:space="preserve">2.7 | Assessment of differential detection</w:t>
      </w:r>
    </w:p>
    <w:p>
      <w:pPr>
        <w:spacing w:after="0" w:line="480"/>
      </w:pPr>
      <w:r>
        <w:rPr>
          <w:rFonts w:ascii="Times New Roman" w:cs="Times New Roman" w:eastAsia="Times New Roman" w:hAnsi="Times New Roman"/>
          <w:sz w:val="24"/>
          <w:szCs w:val="24"/>
        </w:rPr>
        <w:t xml:space="preserve">We used five complementary approaches to evaluate differential ascertainment.</w:t>
      </w:r>
    </w:p>
    <w:p>
      <w:pPr>
        <w:spacing w:after="120"/>
      </w:pPr>
    </w:p>
    <w:p>
      <w:pPr>
        <w:spacing w:after="0" w:line="480"/>
      </w:pPr>
      <w:r>
        <w:rPr>
          <w:rFonts w:ascii="Times New Roman" w:cs="Times New Roman" w:eastAsia="Times New Roman" w:hAnsi="Times New Roman"/>
          <w:sz w:val="24"/>
          <w:szCs w:val="24"/>
        </w:rPr>
        <w:t xml:space="preserve">First, we examined 11 negative-control outcomes without a plausible direct causal relationship to IIH or seizures, selected to be ascertainable through similar healthcare pathways (eTable 3).17 We did not treat a negative control as evidence of specificity unless its baseline prevalence was reasonably balanced between groups.</w:t>
      </w:r>
    </w:p>
    <w:p>
      <w:pPr>
        <w:spacing w:after="120"/>
      </w:pPr>
    </w:p>
    <w:p>
      <w:pPr>
        <w:spacing w:after="0" w:line="480"/>
      </w:pPr>
      <w:r>
        <w:rPr>
          <w:rFonts w:ascii="Times New Roman" w:cs="Times New Roman" w:eastAsia="Times New Roman" w:hAnsi="Times New Roman"/>
          <w:sz w:val="24"/>
          <w:szCs w:val="24"/>
        </w:rPr>
        <w:t xml:space="preserve">Second, we performed an empirical calibration analysis in which the log HR for each negative-control outcome was regressed on its log baseline prevalence ratio. The fitted value at a baseline prevalence ratio of 1 was used to estimate the association expected from the observed pattern of differential detection alone.18</w:t>
      </w:r>
    </w:p>
    <w:p>
      <w:pPr>
        <w:spacing w:after="120"/>
      </w:pPr>
    </w:p>
    <w:p>
      <w:pPr>
        <w:spacing w:after="0" w:line="480"/>
      </w:pPr>
      <w:r>
        <w:rPr>
          <w:rFonts w:ascii="Times New Roman" w:cs="Times New Roman" w:eastAsia="Times New Roman" w:hAnsi="Times New Roman"/>
          <w:sz w:val="24"/>
          <w:szCs w:val="24"/>
        </w:rPr>
        <w:t xml:space="preserve">Third, we adjusted each outcome for six prespecified measures of pre-index healthcare contact and examined the direction and magnitude of change. If differential healthcare use were an important source of ascertainment bias, adjustment for these measures would be expected, although not guaranteed, to attenuate the observed associations.</w:t>
      </w:r>
    </w:p>
    <w:p>
      <w:pPr>
        <w:spacing w:after="120"/>
      </w:pPr>
    </w:p>
    <w:p>
      <w:pPr>
        <w:spacing w:after="0" w:line="480"/>
      </w:pPr>
      <w:r>
        <w:rPr>
          <w:rFonts w:ascii="Times New Roman" w:cs="Times New Roman" w:eastAsia="Times New Roman" w:hAnsi="Times New Roman"/>
          <w:sz w:val="24"/>
          <w:szCs w:val="24"/>
        </w:rPr>
        <w:t xml:space="preserve">Fourth, we described post-index surveillance rates. We did not adjust the primary outcome for post-index contact because post-exposure healthcare contact may lie on the pathway from IIH to outcome ascertainment and can act as a collider.</w:t>
      </w:r>
    </w:p>
    <w:p>
      <w:pPr>
        <w:spacing w:after="120"/>
      </w:pPr>
    </w:p>
    <w:p>
      <w:pPr>
        <w:spacing w:after="0" w:line="480"/>
      </w:pPr>
      <w:r>
        <w:rPr>
          <w:rFonts w:ascii="Times New Roman" w:cs="Times New Roman" w:eastAsia="Times New Roman" w:hAnsi="Times New Roman"/>
          <w:sz w:val="24"/>
          <w:szCs w:val="24"/>
        </w:rPr>
        <w:t xml:space="preserve">Fifth, we calculated E-values to describe the strength of association that an unmeasured confounder would need with both IIH and the outcome, conditional on the measured covariates, to explain the observed HR.19 Because healthcare-contact measures do not directly quantify their association with seizure ascertainment, E-values were interpreted as sensitivity parameters rather than as direct tests of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3 | RESULTS</w:t>
      </w:r>
    </w:p>
    <w:p>
      <w:pPr>
        <w:pStyle w:val="Heading2"/>
        <w:spacing w:after="150" w:before="300"/>
      </w:pPr>
      <w:r>
        <w:rPr>
          <w:rFonts w:ascii="Times New Roman" w:cs="Times New Roman" w:eastAsia="Times New Roman" w:hAnsi="Times New Roman"/>
          <w:b/>
          <w:bCs/>
          <w:sz w:val="26"/>
          <w:szCs w:val="26"/>
        </w:rPr>
        <w:t xml:space="preserve">3.1 | Cohort and baseline characteristics</w:t>
      </w:r>
    </w:p>
    <w:p>
      <w:pPr>
        <w:spacing w:after="0" w:line="480"/>
      </w:pPr>
      <w:r>
        <w:rPr>
          <w:rFonts w:ascii="Times New Roman" w:cs="Times New Roman" w:eastAsia="Times New Roman" w:hAnsi="Times New Roman"/>
          <w:sz w:val="24"/>
          <w:szCs w:val="24"/>
        </w:rPr>
        <w:t xml:space="preserve">Among 2,520 eligible patients with IIH, 2,490 (98.8%) were matched (eFigure 1) to 5,743 comparators, yielding a mean of 2.31 comparators per case. Eighty-seven percent of cases were matched at the most stringent tier. After the washout and follow-up eligibility criteria were applied, 2,138 patients with IIH contributed to the primary analysis. The IIH and comparator groups contributed 4,563.0 and 9,375.2 person-years, respectively. Median follow-up was 2.77 years (IQR 1.23--3.00) in the IIH group and 1.51 years (IQR 0.52--3.00) among comparators.</w:t>
      </w:r>
    </w:p>
    <w:p>
      <w:pPr>
        <w:spacing w:after="120"/>
      </w:pPr>
    </w:p>
    <w:p>
      <w:pPr>
        <w:spacing w:after="0" w:line="480"/>
      </w:pPr>
      <w:r>
        <w:rPr>
          <w:rFonts w:ascii="Times New Roman" w:cs="Times New Roman" w:eastAsia="Times New Roman" w:hAnsi="Times New Roman"/>
          <w:sz w:val="24"/>
          <w:szCs w:val="24"/>
        </w:rPr>
        <w:t xml:space="preserve">Age, sex, and BMI were well balanced (SMDs −0.065, 0.034, and 0.050, respectively; Table 1). OSA remained more common among patients with IIH (29.5% vs 15.4%; SMD 0.342), as did PCOS (12.3% vs 7.3%; SMD 0.171) and hypertension (22.1% vs 16.4%; SMD 0.146). Pre-index healthcare contact showed the largest imbalance: the median number of clinical visits during the preceding year was 12 in the IIH group versus 4 among comparators (SMD 0.526). Opening pressure was available for 1,585 patients with IIH (74%) and had a mean of 29.5 cm H₂O (SD 9.7).</w:t>
      </w:r>
    </w:p>
    <w:p>
      <w:pPr>
        <w:spacing w:after="120"/>
      </w:pPr>
    </w:p>
    <w:p>
      <w:pPr>
        <w:pStyle w:val="Heading2"/>
        <w:spacing w:after="150" w:before="300"/>
      </w:pPr>
      <w:r>
        <w:rPr>
          <w:rFonts w:ascii="Times New Roman" w:cs="Times New Roman" w:eastAsia="Times New Roman" w:hAnsi="Times New Roman"/>
          <w:b/>
          <w:bCs/>
          <w:sz w:val="26"/>
          <w:szCs w:val="26"/>
        </w:rPr>
        <w:t xml:space="preserve">3.2 | Primary outcome</w:t>
      </w:r>
    </w:p>
    <w:p>
      <w:pPr>
        <w:spacing w:after="0" w:line="480"/>
      </w:pPr>
      <w:r>
        <w:rPr>
          <w:rFonts w:ascii="Times New Roman" w:cs="Times New Roman" w:eastAsia="Times New Roman" w:hAnsi="Times New Roman"/>
          <w:sz w:val="24"/>
          <w:szCs w:val="24"/>
        </w:rPr>
        <w:t xml:space="preserve">During follow-up, 66 patients with IIH and 63 comparators experienced a qualifying seizure or epilepsy event. Incidence rates were 14.46 and 6.72 per 1,000 person-years, respectively (95% CIs 11.19--18.40 and 5.16--8.60). The corresponding HR was 2.28 (95% CI 1.62--3.22; p\&lt;0.001), with no evidence of violation of the proportional hazards assumption (p=0.94). Three-year cumulative incidence was 3.83% in the IIH group and 1.71% among comparators, an absolute difference of 2.12 percentage points (Figure 1).</w:t>
      </w:r>
    </w:p>
    <w:p>
      <w:pPr>
        <w:spacing w:after="120"/>
      </w:pPr>
    </w:p>
    <w:p>
      <w:pPr>
        <w:spacing w:after="0" w:line="480"/>
      </w:pPr>
      <w:r>
        <w:rPr>
          <w:rFonts w:ascii="Times New Roman" w:cs="Times New Roman" w:eastAsia="Times New Roman" w:hAnsi="Times New Roman"/>
          <w:sz w:val="24"/>
          <w:szCs w:val="24"/>
        </w:rPr>
        <w:t xml:space="preserve">In chart review, 48 of 50 electronically identified events among patients with IIH were confirmed (PPV 96%; 95% CI 86%--100%), compared with 50 of 50 among comparators (PPV 100%; 95% CI 93%--100%).</w:t>
      </w:r>
    </w:p>
    <w:p>
      <w:pPr>
        <w:spacing w:after="120"/>
      </w:pPr>
    </w:p>
    <w:p>
      <w:pPr>
        <w:pStyle w:val="Heading2"/>
        <w:spacing w:after="150" w:before="300"/>
      </w:pPr>
      <w:r>
        <w:rPr>
          <w:rFonts w:ascii="Times New Roman" w:cs="Times New Roman" w:eastAsia="Times New Roman" w:hAnsi="Times New Roman"/>
          <w:b/>
          <w:bCs/>
          <w:sz w:val="26"/>
          <w:szCs w:val="26"/>
        </w:rPr>
        <w:t xml:space="preserve">3.3 | Sensitivity analyses</w:t>
      </w:r>
    </w:p>
    <w:p>
      <w:pPr>
        <w:spacing w:after="0" w:line="480"/>
      </w:pPr>
      <w:r>
        <w:rPr>
          <w:rFonts w:ascii="Times New Roman" w:cs="Times New Roman" w:eastAsia="Times New Roman" w:hAnsi="Times New Roman"/>
          <w:sz w:val="24"/>
          <w:szCs w:val="24"/>
        </w:rPr>
        <w:t xml:space="preserve">The association was similar across alternative outcome and cohort definitions (Table 2; Figure 2). Removing the medication criterion produced an HR of 1.93 (95% CI 1.34--2.77), while restriction to epilepsy-specific codes produced an HR of 2.30 (95% CI 1.35--3.92). Restriction to patients with opening pressure of at least 25 cm H₂O yielded an HR of 2.25 (95% CI 1.41--3.59). Landmark analyses excluding the first 30, 90, and 180 days after the washout yielded HRs of 2.49, 2.29, and 2.22, respectively. The overlap-weighted analysis produced an HR of 2.31 (95% CI 1.56--3.43). Counting all encounter rows as healthcare contact produced an HR of 2.79 (95% CI 1.98--3.93).</w:t>
      </w:r>
    </w:p>
    <w:p>
      <w:pPr>
        <w:spacing w:after="120"/>
      </w:pPr>
    </w:p>
    <w:p>
      <w:pPr>
        <w:spacing w:after="0" w:line="480"/>
      </w:pPr>
      <w:r>
        <w:rPr>
          <w:rFonts w:ascii="Times New Roman" w:cs="Times New Roman" w:eastAsia="Times New Roman" w:hAnsi="Times New Roman"/>
          <w:sz w:val="24"/>
          <w:szCs w:val="24"/>
        </w:rPr>
        <w:t xml:space="preserve">Selection of follow-up was asymmetric in one respect: comparators, but not cases, were screened for post-washout follow-up at selection. Consequently, 352 matched sets lost their case but retained 789 comparators, who contributed two events. Restriction to complete matched sets yielded an HR of 2.06 (95% CI 1.46--2.92).</w:t>
      </w:r>
    </w:p>
    <w:p>
      <w:pPr>
        <w:spacing w:after="120"/>
      </w:pPr>
    </w:p>
    <w:p>
      <w:pPr>
        <w:spacing w:after="0" w:line="480"/>
      </w:pPr>
      <w:r>
        <w:rPr>
          <w:rFonts w:ascii="Times New Roman" w:cs="Times New Roman" w:eastAsia="Times New Roman" w:hAnsi="Times New Roman"/>
          <w:sz w:val="24"/>
          <w:szCs w:val="24"/>
        </w:rPr>
        <w:t xml:space="preserve">Among the three imbalanced comorbidities, OSA showed the clearest association with the outcome (HR 1.87, 95% CI 1.29--2.71); estimates for hypertension and PCOS were 1.41 (95% CI 0.95--2.08) and 1.14 (95% CI 0.64--2.02), respectively. Adjustment for all three comorbidities reduced the HR to 2.11 (95% CI 1.48--3.01), with the change attributable primarily to OSA. Additional adjustment for pre-index visits yielded an HR of 2.33 (95% CI 1.58--3.45). The cause-specific HR for death was 0.61 (95% CI 0.29--1.29), and the Fine--Gray subdistribution HR for the primary outcome was 2.28 (95% CI 1.62--3.22).</w:t>
      </w:r>
    </w:p>
    <w:p>
      <w:pPr>
        <w:spacing w:after="120"/>
      </w:pPr>
    </w:p>
    <w:p>
      <w:pPr>
        <w:pStyle w:val="Heading2"/>
        <w:spacing w:after="150" w:before="300"/>
      </w:pPr>
      <w:r>
        <w:rPr>
          <w:rFonts w:ascii="Times New Roman" w:cs="Times New Roman" w:eastAsia="Times New Roman" w:hAnsi="Times New Roman"/>
          <w:b/>
          <w:bCs/>
          <w:sz w:val="26"/>
          <w:szCs w:val="26"/>
        </w:rPr>
        <w:t xml:space="preserve">3.4 | Secondary outcome and subgroups</w:t>
      </w:r>
    </w:p>
    <w:p>
      <w:pPr>
        <w:spacing w:after="0" w:line="480"/>
      </w:pPr>
      <w:r>
        <w:rPr>
          <w:rFonts w:ascii="Times New Roman" w:cs="Times New Roman" w:eastAsia="Times New Roman" w:hAnsi="Times New Roman"/>
          <w:sz w:val="24"/>
          <w:szCs w:val="24"/>
        </w:rPr>
        <w:t xml:space="preserve">Among patients with a primary event, 41 of 66 patients with IIH (62%; 95% CI 49%--74%) and 32 of 63 comparators (51%; 95% CI 38%--64%) met the definition of recurrent seizure or epilepsy (Fisher exact p=0.22; eFigure 3). No interaction reached statistical significance (eTable 7). HRs were 1.90 among patients younger than 35 years and 2.72 among those aged 35 years or older (p for interaction=0.31). By BMI, HRs were 2.86 for BMI \&lt;35 kg/m² and 1.87 for BMI ≥35 kg/m² (p=0.26). By sex, the HR was 1.98 among women and 5.12 among men (p=0.055); the male estimate was based on 20 events.</w:t>
      </w:r>
    </w:p>
    <w:p>
      <w:pPr>
        <w:spacing w:after="120"/>
      </w:pPr>
    </w:p>
    <w:p>
      <w:pPr>
        <w:pStyle w:val="Heading2"/>
        <w:spacing w:after="150" w:before="300"/>
      </w:pPr>
      <w:r>
        <w:rPr>
          <w:rFonts w:ascii="Times New Roman" w:cs="Times New Roman" w:eastAsia="Times New Roman" w:hAnsi="Times New Roman"/>
          <w:b/>
          <w:bCs/>
          <w:sz w:val="26"/>
          <w:szCs w:val="26"/>
        </w:rPr>
        <w:t xml:space="preserve">3.5 | Differential detection</w:t>
      </w:r>
    </w:p>
    <w:p>
      <w:pPr>
        <w:spacing w:after="0" w:line="480"/>
      </w:pPr>
      <w:r>
        <w:rPr>
          <w:rFonts w:ascii="Times New Roman" w:cs="Times New Roman" w:eastAsia="Times New Roman" w:hAnsi="Times New Roman"/>
          <w:sz w:val="24"/>
          <w:szCs w:val="24"/>
        </w:rPr>
        <w:t xml:space="preserve">Healthcare contact after the index date was consistently higher among patients with IIH (eTable 8). Rate ratios were 2.70 (95% CI 2.68--2.73) for all clinical visits, 2.27--2.92 across office, procedural, and hospital encounters, and 5.74 (95% CI 4.96--6.65) for emergency department encounters. Laboratory contact was similar between groups (rate ratio 1.14). Neurology visits, neuroimaging, and EEG could not be compared because these data were not captured comparably in the two source extracts.</w:t>
      </w:r>
    </w:p>
    <w:p>
      <w:pPr>
        <w:spacing w:after="120"/>
      </w:pPr>
    </w:p>
    <w:p>
      <w:pPr>
        <w:spacing w:after="0" w:line="480"/>
      </w:pPr>
      <w:r>
        <w:rPr>
          <w:rFonts w:ascii="Times New Roman" w:cs="Times New Roman" w:eastAsia="Times New Roman" w:hAnsi="Times New Roman"/>
          <w:sz w:val="24"/>
          <w:szCs w:val="24"/>
        </w:rPr>
        <w:t xml:space="preserve">All 11 negative-control outcomes were more prevalent at baseline among patients with IIH, with prevalence ratios ranging from 1.6 to 5.0 (all p\&lt;0.01). Thus, none met the prespecified balance criterion for a specificity analysis (Table 3). After the index date, 8 of 11 negative controls had HRs whose 95% CIs excluded 1. The seizure outcome had an unadjusted rate ratio of 2.15, which was lower than the corresponding estimates for 6 of the 11 controls. Across the negative controls, greater baseline imbalance was associated with larger post-index HRs (r=0.66, p=0.026). The empirical calibration model yielded a predicted detection-only HR of 1.04 (95% CI 0.37--2.90; eFigure 2); importantly, this interval included the observed seizure HR.</w:t>
      </w:r>
    </w:p>
    <w:p>
      <w:pPr>
        <w:spacing w:after="120"/>
      </w:pPr>
    </w:p>
    <w:p>
      <w:pPr>
        <w:spacing w:after="0" w:line="480"/>
      </w:pPr>
      <w:r>
        <w:rPr>
          <w:rFonts w:ascii="Times New Roman" w:cs="Times New Roman" w:eastAsia="Times New Roman" w:hAnsi="Times New Roman"/>
          <w:sz w:val="24"/>
          <w:szCs w:val="24"/>
        </w:rPr>
        <w:t xml:space="preserve">Adjustment for each of six measures of pre-index healthcare contact moved all 66 negative-control estimates toward the null (median change −29%; range −46% to −3%). In contrast, the seizure HR increased under each measure, ranging from 2.46 to 2.93 (Figure 3). Because adjustment for healthcare utilization can have complex causal interpretations, these findings are supportive but do not establish that differential detection was absent.</w:t>
      </w:r>
    </w:p>
    <w:p>
      <w:pPr>
        <w:spacing w:after="120"/>
      </w:pPr>
    </w:p>
    <w:p>
      <w:pPr>
        <w:spacing w:after="0" w:line="480"/>
      </w:pPr>
      <w:r>
        <w:rPr>
          <w:rFonts w:ascii="Times New Roman" w:cs="Times New Roman" w:eastAsia="Times New Roman" w:hAnsi="Times New Roman"/>
          <w:sz w:val="24"/>
          <w:szCs w:val="24"/>
        </w:rPr>
        <w:t xml:space="preserve">In a separate analysis that adjusted for post-index contact, the seizure HR fell to 1.25 (95% CI 0.85--1.85). The same adjustment produced apparent protective associations for fracture and upper respiratory infection, illustrating the potential for collider bias when conditioning on post-exposure healthcare contact (eTable 6).</w:t>
      </w:r>
    </w:p>
    <w:p>
      <w:pPr>
        <w:spacing w:after="120"/>
      </w:pPr>
    </w:p>
    <w:p>
      <w:pPr>
        <w:spacing w:after="0" w:line="480"/>
      </w:pPr>
      <w:r>
        <w:rPr>
          <w:rFonts w:ascii="Times New Roman" w:cs="Times New Roman" w:eastAsia="Times New Roman" w:hAnsi="Times New Roman"/>
          <w:sz w:val="24"/>
          <w:szCs w:val="24"/>
        </w:rPr>
        <w:t xml:space="preserve">The E-value for the primary HR was 3.99, and the E-value for the lower confidence limit was 2.62. Emergency department contact had a rate ratio of 5.74 for IIH versus comparators, exceeding the point-estimate E-value; however, the corresponding association between emergency department contact and seizure ascertainment could not be quantified. The E-value therefore does not exclude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4 | DISCUSSION</w:t>
      </w:r>
    </w:p>
    <w:p>
      <w:pPr>
        <w:spacing w:after="0" w:line="480"/>
      </w:pPr>
      <w:r>
        <w:rPr>
          <w:rFonts w:ascii="Times New Roman" w:cs="Times New Roman" w:eastAsia="Times New Roman" w:hAnsi="Times New Roman"/>
          <w:sz w:val="24"/>
          <w:szCs w:val="24"/>
        </w:rPr>
        <w:t xml:space="preserve">In this matched electronic health record cohort, patients with IIH had approximately twice the rate of a clinically recognized incident seizure or epilepsy event compared with matched comparators (HR 2.28). The absolute difference was modest: the estimated 3-year cumulative incidence was 3.83% with IIH versus 1.71% without IIH. The association persisted across several alternative outcome definitions, cohort restrictions, follow-up landmarks, and analytic approaches.</w:t>
      </w:r>
    </w:p>
    <w:p>
      <w:pPr>
        <w:spacing w:after="120"/>
      </w:pPr>
    </w:p>
    <w:p>
      <w:pPr>
        <w:spacing w:after="0" w:line="480"/>
      </w:pPr>
      <w:r>
        <w:rPr>
          <w:rFonts w:ascii="Times New Roman" w:cs="Times New Roman" w:eastAsia="Times New Roman" w:hAnsi="Times New Roman"/>
          <w:sz w:val="24"/>
          <w:szCs w:val="24"/>
        </w:rPr>
        <w:t xml:space="preserve">The principal challenge in interpreting this association is ascertainment. Patients with IIH had substantially more healthcare contact before and after the index date, and every negative-control outcome was more common at baseline. This makes differential detection a real concern rather than a theoretical limitation.</w:t>
      </w:r>
    </w:p>
    <w:p>
      <w:pPr>
        <w:spacing w:after="120"/>
      </w:pPr>
    </w:p>
    <w:p>
      <w:pPr>
        <w:spacing w:after="0" w:line="480"/>
      </w:pPr>
      <w:r>
        <w:rPr>
          <w:rFonts w:ascii="Times New Roman" w:cs="Times New Roman" w:eastAsia="Times New Roman" w:hAnsi="Times New Roman"/>
          <w:sz w:val="24"/>
          <w:szCs w:val="24"/>
        </w:rPr>
        <w:t xml:space="preserve">Three findings argue against differential detection accounting for the association in full. First, adjustment for pre-index healthcare contact moved all negative-control associations toward the null, whereas the seizure estimate did not attenuate. Second, the association persisted when events occurring during the first 30, 90, or 180 days after the washout were excluded, making an explanation based only on the intensive diagnostic workup surrounding IIH less likely. Third, although surveillance was higher in the IIH group in every clinician-initiated setting, it was not higher in laboratory encounters (rate ratio 1.14), the one setting a clinician does not initiate, and the association persisted. The primary estimate was also unchanged by restricting the outcome to epilepsy-specific codes or removing the medication criterion.</w:t>
      </w:r>
    </w:p>
    <w:p>
      <w:pPr>
        <w:spacing w:after="120"/>
      </w:pPr>
    </w:p>
    <w:p>
      <w:pPr>
        <w:spacing w:after="0" w:line="480"/>
      </w:pPr>
      <w:r>
        <w:rPr>
          <w:rFonts w:ascii="Times New Roman" w:cs="Times New Roman" w:eastAsia="Times New Roman" w:hAnsi="Times New Roman"/>
          <w:sz w:val="24"/>
          <w:szCs w:val="24"/>
        </w:rPr>
        <w:t xml:space="preserve">These findings should nevertheless be interpreted cautiously. The empirical calibration analysis was inconclusive: its confidence interval for the detection-only HR included the observed estimate. Moreover, the primary outcome could not be compared using the most seizure-specific channels of ascertainment---neurology visits, EEG, and neuroimaging---because those data were not captured equivalently in the two groups. The higher emergency department utilization in the IIH group is particularly relevant because emergency encounters are an important setting for first seizure evaluation. Thus, the data do not allow differential detection to be ruled out.</w:t>
      </w:r>
    </w:p>
    <w:p>
      <w:pPr>
        <w:spacing w:after="120"/>
      </w:pPr>
    </w:p>
    <w:p>
      <w:pPr>
        <w:spacing w:after="0" w:line="480"/>
      </w:pPr>
      <w:r>
        <w:rPr>
          <w:rFonts w:ascii="Times New Roman" w:cs="Times New Roman" w:eastAsia="Times New Roman" w:hAnsi="Times New Roman"/>
          <w:sz w:val="24"/>
          <w:szCs w:val="24"/>
        </w:rPr>
        <w:t xml:space="preserve">OSA is another plausible contributor. It is nearly twice as prevalent among patients with IIH, and is itself associated with epilepsy.20 It was associated with the outcome in this cohort. Adjustment for OSA, hypertension, and PCOS reduced the HR from 2.28 to 2.11, suggesting that these measured comorbidities explain only part of the association. Residual confounding is possible, particularly because OSA is frequently underdiagnosed and was identified through electronic health record coding.</w:t>
      </w:r>
    </w:p>
    <w:p>
      <w:pPr>
        <w:spacing w:after="120"/>
      </w:pPr>
    </w:p>
    <w:p>
      <w:pPr>
        <w:spacing w:after="0" w:line="480"/>
      </w:pPr>
      <w:r>
        <w:rPr>
          <w:rFonts w:ascii="Times New Roman" w:cs="Times New Roman" w:eastAsia="Times New Roman" w:hAnsi="Times New Roman"/>
          <w:sz w:val="24"/>
          <w:szCs w:val="24"/>
        </w:rPr>
        <w:t xml:space="preserve">Treatment may also have influenced ascertainment. Acetazolamide and topiramate have antiseizure activity, and both are used in IIH.21 Their use could therefore reduce seizure occurrence, alter the decision to initiate a separate ASM, or change the probability that a seizure is captured by the medication-based component of the outcome. If anything, such treatment effects could attenuate the observed association, although the direction and magnitude cannot be established from these data.</w:t>
      </w:r>
    </w:p>
    <w:p>
      <w:pPr>
        <w:spacing w:after="120"/>
      </w:pPr>
    </w:p>
    <w:p>
      <w:pPr>
        <w:spacing w:after="0" w:line="480"/>
      </w:pPr>
      <w:r>
        <w:rPr>
          <w:rFonts w:ascii="Times New Roman" w:cs="Times New Roman" w:eastAsia="Times New Roman" w:hAnsi="Times New Roman"/>
          <w:sz w:val="24"/>
          <w:szCs w:val="24"/>
        </w:rPr>
        <w:t xml:space="preserve">Our findings add a population-level perspective to the literature connecting IIH, temporal encephaloceles, and epilepsy. Prior studies have largely approached the question from the epilepsy side. In a presurgical series of 22 patients with drug-resistant temporal lobe epilepsy associated with anterior temporal meningoencephaloceles, Urbach and colleagues reported imaging features suggestive of IIH and obesity in 10 patients.22 Martinez-Poles and colleagues similarly found smaller pituitary height and larger optic nerve sheath diameters among patients with temporal pole encephaloceles compared with controls with other focal epilepsies.23 Case reports have described seizures as a presenting or predominant manifestation of presumed IIH in patients with skull-base encephaloceles.24,25 These studies support a biologically plausible link but cannot estimate seizure risk among patients with IIH.</w:t>
      </w:r>
    </w:p>
    <w:p>
      <w:pPr>
        <w:spacing w:after="120"/>
      </w:pPr>
    </w:p>
    <w:p>
      <w:pPr>
        <w:spacing w:after="0" w:line="480"/>
      </w:pPr>
      <w:r>
        <w:rPr>
          <w:rFonts w:ascii="Times New Roman" w:cs="Times New Roman" w:eastAsia="Times New Roman" w:hAnsi="Times New Roman"/>
          <w:sz w:val="24"/>
          <w:szCs w:val="24"/>
        </w:rPr>
        <w:t xml:space="preserve">The mechanism underlying the association remains uncertain. Skull-base encephaloceles are an attractive candidate because they provide a structural pathway linking chronically raised intracranial pressure to focal cortical dysfunction and epilepsy.26--30 Diffuse effects of sustained pressure, as well as shared metabolic and sleep-related risk factors, are other possibilities. Encephalocele status was assessed in only 60 patients with IIH, of whom 43 were positive; it was not extracted for comparators. This precludes meaningful analysis of the structural hypothesis. Future studies should therefore incorporate systematic review of skull-base imaging and detailed seizure phenotyping rather than relying on diagnosis codes alone.</w:t>
      </w:r>
    </w:p>
    <w:p>
      <w:pPr>
        <w:spacing w:after="120"/>
      </w:pPr>
    </w:p>
    <w:p>
      <w:pPr>
        <w:spacing w:after="0" w:line="480"/>
      </w:pPr>
      <w:r>
        <w:rPr>
          <w:rFonts w:ascii="Times New Roman" w:cs="Times New Roman" w:eastAsia="Times New Roman" w:hAnsi="Times New Roman"/>
          <w:sz w:val="24"/>
          <w:szCs w:val="24"/>
        </w:rPr>
        <w:t xml:space="preserve">The clinical implications are limited by the modest absolute risk and the uncertainty surrounding ascertainment. These data do not provide a basis for routine EEG screening or prophylactic ASM treatment in patients with IIH. They do support careful evaluation of unexplained paroxysmal events in patients with IIH, particularly when the semiology is compatible with focal seizures. Conversely, when a patient with obesity presents with a new focal seizure, review of brain imaging for subtle signs of raised intracranial pressure and skull-base encephaloceles may be useful.26,27 When both conditions are present, treatment selection may require consideration of weight and IIH management; for example, topiramate may address both seizure risk and weight-related concerns, whereas some ASMs associated with weight gain may be less attractive.31 These clinical considerations require prospective evaluation.</w:t>
      </w:r>
    </w:p>
    <w:p>
      <w:pPr>
        <w:spacing w:after="120"/>
      </w:pPr>
    </w:p>
    <w:p>
      <w:pPr>
        <w:pStyle w:val="Heading2"/>
        <w:spacing w:after="150" w:before="300"/>
      </w:pPr>
      <w:r>
        <w:rPr>
          <w:rFonts w:ascii="Times New Roman" w:cs="Times New Roman" w:eastAsia="Times New Roman" w:hAnsi="Times New Roman"/>
          <w:b/>
          <w:bCs/>
          <w:sz w:val="26"/>
          <w:szCs w:val="26"/>
        </w:rPr>
        <w:t xml:space="preserve">4.1 | Limitations</w:t>
      </w:r>
    </w:p>
    <w:p>
      <w:pPr>
        <w:spacing w:after="0" w:line="480"/>
      </w:pPr>
      <w:r>
        <w:rPr>
          <w:rFonts w:ascii="Times New Roman" w:cs="Times New Roman" w:eastAsia="Times New Roman" w:hAnsi="Times New Roman"/>
          <w:sz w:val="24"/>
          <w:szCs w:val="24"/>
        </w:rPr>
        <w:t xml:space="preserve">Several limitations warrant emphasis. First, differential ascertainment could not be excluded. The data elements most specific to seizure evaluation---neurology encounters, neuroimaging, and EEG---were not comparably available in the two groups. The comparator cohort was drawn from the general clinical population rather than from a condition with similar neurologic surveillance. An active-comparator design may reduce this concern, although selecting an appropriate comparator would require careful consideration of how surveillance differs across candidate conditions.</w:t>
      </w:r>
    </w:p>
    <w:p>
      <w:pPr>
        <w:spacing w:after="120"/>
      </w:pPr>
    </w:p>
    <w:p>
      <w:pPr>
        <w:spacing w:after="0" w:line="480"/>
      </w:pPr>
      <w:r>
        <w:rPr>
          <w:rFonts w:ascii="Times New Roman" w:cs="Times New Roman" w:eastAsia="Times New Roman" w:hAnsi="Times New Roman"/>
          <w:sz w:val="24"/>
          <w:szCs w:val="24"/>
        </w:rPr>
        <w:t xml:space="preserve">Second, two eligibility steps were applied asymmetrically. Comparators, but not cases, were excluded for a history of ischemic stroke, intracerebral or subarachnoid hemorrhage, craniotomy, brain tumor, or traumatic brain injury, because the corresponding diagnosis extract was unavailable for the IIH group. Because each of these conditions raises seizure risk, removing them from the comparator group alone would be expected to lower the comparator event rate and bias the hazard ratio away from the null; the magnitude cannot be estimated without the corresponding extract for the IIH group, and a symmetric re-analysis is the first priority for any revision. Separately, comparators were screened for post-washout follow-up at selection, whereas cases were not subjected to the same step. Restriction to complete matched sets reduced the HR from 2.28 to 2.06, indicating that this design feature had a measurable effect, although it did not eliminate the association.</w:t>
      </w:r>
    </w:p>
    <w:p>
      <w:pPr>
        <w:spacing w:after="120"/>
      </w:pPr>
    </w:p>
    <w:p>
      <w:pPr>
        <w:spacing w:after="0" w:line="480"/>
      </w:pPr>
      <w:r>
        <w:rPr>
          <w:rFonts w:ascii="Times New Roman" w:cs="Times New Roman" w:eastAsia="Times New Roman" w:hAnsi="Times New Roman"/>
          <w:sz w:val="24"/>
          <w:szCs w:val="24"/>
        </w:rPr>
        <w:t xml:space="preserve">Third, IIH was identified using diagnosis codes and lumbar puncture rather than criterion-based adjudication. Although restriction to patients with an opening pressure of at least 25 cm H₂O produced a similar estimate, opening pressure was available for only 74% of cases. The primary outcome was also based on codes and medication records. Seizure type, etiology, and provoked versus unprovoked status were unavailable, so the outcome cannot be mapped directly onto ILAE definitions of epilepsy. The recurrence definition is a proxy rather than a formal epilepsy diagnosis.</w:t>
      </w:r>
    </w:p>
    <w:p>
      <w:pPr>
        <w:spacing w:after="120"/>
      </w:pPr>
    </w:p>
    <w:p>
      <w:pPr>
        <w:spacing w:after="0" w:line="480"/>
      </w:pPr>
      <w:r>
        <w:rPr>
          <w:rFonts w:ascii="Times New Roman" w:cs="Times New Roman" w:eastAsia="Times New Roman" w:hAnsi="Times New Roman"/>
          <w:sz w:val="24"/>
          <w:szCs w:val="24"/>
        </w:rPr>
        <w:t xml:space="preserve">Fourth, chart validation was limited to 50 events per group. False-positive outcomes were slightly more common among patients with IIH (4% vs 0%), and correcting for this difference would be expected to attenuate the association modestly, but the small validation sample limits precision. Encephalocele data were too sparse to test the most specific structural mechanism.</w:t>
      </w:r>
    </w:p>
    <w:p>
      <w:pPr>
        <w:spacing w:after="120"/>
      </w:pPr>
    </w:p>
    <w:p>
      <w:pPr>
        <w:spacing w:after="0" w:line="480"/>
      </w:pPr>
      <w:r>
        <w:rPr>
          <w:rFonts w:ascii="Times New Roman" w:cs="Times New Roman" w:eastAsia="Times New Roman" w:hAnsi="Times New Roman"/>
          <w:sz w:val="24"/>
          <w:szCs w:val="24"/>
        </w:rPr>
        <w:t xml:space="preserve">Fifth, medication capture differed between the two source extracts: the case extract included inpatient administrations, whereas the comparator extract contained outpatient prescriptions. This difference could bias the medication-based component of the outcome toward the null. Consistent with this possibility, removal of the medication criterion yielded an HR of 1.93.</w:t>
      </w:r>
    </w:p>
    <w:p>
      <w:pPr>
        <w:spacing w:after="120"/>
      </w:pPr>
    </w:p>
    <w:p>
      <w:pPr>
        <w:spacing w:after="0" w:line="480"/>
      </w:pPr>
      <w:r>
        <w:rPr>
          <w:rFonts w:ascii="Times New Roman" w:cs="Times New Roman" w:eastAsia="Times New Roman" w:hAnsi="Times New Roman"/>
          <w:sz w:val="24"/>
          <w:szCs w:val="24"/>
        </w:rPr>
        <w:t xml:space="preserve">Finally, race was unavailable for cases, smoking was not comparably recorded, and median follow-up was shorter among comparators. Censoring based on last observed clinical contact may also be informative because healthcare utilization is related to outcome detection. The study was conducted within a single integrated academic health system, and the findings may not generalize to community populations or healthcare systems with different patterns of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5 | CONCLUSIONS</w:t>
      </w:r>
    </w:p>
    <w:p>
      <w:pPr>
        <w:spacing w:after="0" w:line="480"/>
      </w:pPr>
      <w:r>
        <w:rPr>
          <w:rFonts w:ascii="Times New Roman" w:cs="Times New Roman" w:eastAsia="Times New Roman" w:hAnsi="Times New Roman"/>
          <w:sz w:val="24"/>
          <w:szCs w:val="24"/>
        </w:rPr>
        <w:t xml:space="preserve">In this matched electronic health record cohort, IIH was associated with approximately twice the rate of clinically recognized incident seizure or epilepsy, corresponding to an absolute 3-year excess of about 2 percentage points. Differential healthcare surveillance was present and cannot be excluded as a partial contributor, but the available evidence argues against it explaining the association in full. The findings support further investigation in cohorts with comparable neurologic surveillance, systematic characterization of seizure phenotype, and dedicated assessment of skull-base encephaloceles.</w:t>
      </w:r>
    </w:p>
    <w:p>
      <w:pPr>
        <w:spacing w:after="120"/>
      </w:pPr>
    </w:p>
    <w:p>
      <w:pPr>
        <w:pStyle w:val="Heading1"/>
        <w:spacing w:after="180" w:before="360"/>
      </w:pPr>
      <w:r>
        <w:rPr>
          <w:rFonts w:ascii="Times New Roman" w:cs="Times New Roman" w:eastAsia="Times New Roman" w:hAnsi="Times New Roman"/>
          <w:b/>
          <w:bCs/>
          <w:sz w:val="28"/>
          <w:szCs w:val="28"/>
        </w:rPr>
        <w:t xml:space="preserve">AUTHOR CONTRIBUTIONS</w:t>
      </w:r>
    </w:p>
    <w:p>
      <w:pPr>
        <w:spacing w:after="0" w:line="480"/>
      </w:pPr>
      <w:r>
        <w:rPr>
          <w:rFonts w:ascii="Times New Roman" w:cs="Times New Roman" w:eastAsia="Times New Roman" w:hAnsi="Times New Roman"/>
          <w:sz w:val="24"/>
          <w:szCs w:val="24"/>
        </w:rPr>
        <w:t xml:space="preserve">[Author contributions]</w:t>
      </w:r>
    </w:p>
    <w:p>
      <w:pPr>
        <w:spacing w:after="120"/>
      </w:pPr>
    </w:p>
    <w:p>
      <w:pPr>
        <w:pStyle w:val="Heading1"/>
        <w:spacing w:after="180" w:before="360"/>
      </w:pPr>
      <w:r>
        <w:rPr>
          <w:rFonts w:ascii="Times New Roman" w:cs="Times New Roman" w:eastAsia="Times New Roman" w:hAnsi="Times New Roman"/>
          <w:b/>
          <w:bCs/>
          <w:sz w:val="28"/>
          <w:szCs w:val="28"/>
        </w:rPr>
        <w:t xml:space="preserve">ACKNOWLEDGMENTS</w:t>
      </w:r>
    </w:p>
    <w:p>
      <w:pPr>
        <w:spacing w:after="0" w:line="480"/>
      </w:pPr>
      <w:r>
        <w:rPr>
          <w:rFonts w:ascii="Times New Roman" w:cs="Times New Roman" w:eastAsia="Times New Roman" w:hAnsi="Times New Roman"/>
          <w:sz w:val="24"/>
          <w:szCs w:val="24"/>
        </w:rPr>
        <w:t xml:space="preserve">[Acknowledgments]</w:t>
      </w:r>
    </w:p>
    <w:p>
      <w:pPr>
        <w:spacing w:after="120"/>
      </w:pPr>
    </w:p>
    <w:p>
      <w:pPr>
        <w:pStyle w:val="Heading1"/>
        <w:spacing w:after="180" w:before="360"/>
      </w:pPr>
      <w:r>
        <w:rPr>
          <w:rFonts w:ascii="Times New Roman" w:cs="Times New Roman" w:eastAsia="Times New Roman" w:hAnsi="Times New Roman"/>
          <w:b/>
          <w:bCs/>
          <w:sz w:val="28"/>
          <w:szCs w:val="28"/>
        </w:rPr>
        <w:t xml:space="preserve">FUNDING</w:t>
      </w:r>
    </w:p>
    <w:p>
      <w:pPr>
        <w:spacing w:after="0" w:line="480"/>
      </w:pPr>
      <w:r>
        <w:rPr>
          <w:rFonts w:ascii="Times New Roman" w:cs="Times New Roman" w:eastAsia="Times New Roman" w:hAnsi="Times New Roman"/>
          <w:sz w:val="24"/>
          <w:szCs w:val="24"/>
        </w:rPr>
        <w:t xml:space="preserve">[Funding sources]</w:t>
      </w:r>
    </w:p>
    <w:p>
      <w:pPr>
        <w:spacing w:after="120"/>
      </w:pPr>
    </w:p>
    <w:p>
      <w:pPr>
        <w:pStyle w:val="Heading1"/>
        <w:spacing w:after="180" w:before="360"/>
      </w:pPr>
      <w:r>
        <w:rPr>
          <w:rFonts w:ascii="Times New Roman" w:cs="Times New Roman" w:eastAsia="Times New Roman" w:hAnsi="Times New Roman"/>
          <w:b/>
          <w:bCs/>
          <w:sz w:val="28"/>
          <w:szCs w:val="28"/>
        </w:rPr>
        <w:t xml:space="preserve">CONFLICT OF INTEREST STATEMENT</w:t>
      </w:r>
    </w:p>
    <w:p>
      <w:pPr>
        <w:spacing w:after="0" w:line="480"/>
      </w:pPr>
      <w:r>
        <w:rPr>
          <w:rFonts w:ascii="Times New Roman" w:cs="Times New Roman" w:eastAsia="Times New Roman" w:hAnsi="Times New Roman"/>
          <w:sz w:val="24"/>
          <w:szCs w:val="24"/>
        </w:rPr>
        <w:t xml:space="preserve">[Conflict of interest disclosures]</w:t>
      </w:r>
    </w:p>
    <w:p>
      <w:pPr>
        <w:spacing w:after="120"/>
      </w:pPr>
    </w:p>
    <w:p>
      <w:pPr>
        <w:pStyle w:val="Heading1"/>
        <w:spacing w:after="180" w:before="360"/>
      </w:pPr>
      <w:r>
        <w:rPr>
          <w:rFonts w:ascii="Times New Roman" w:cs="Times New Roman" w:eastAsia="Times New Roman" w:hAnsi="Times New Roman"/>
          <w:b/>
          <w:bCs/>
          <w:sz w:val="28"/>
          <w:szCs w:val="28"/>
        </w:rPr>
        <w:t xml:space="preserve">ETHICAL PUBLICATION STATEMENT</w:t>
      </w:r>
    </w:p>
    <w:p>
      <w:pPr>
        <w:spacing w:after="0" w:line="480"/>
      </w:pPr>
      <w:r>
        <w:rPr>
          <w:rFonts w:ascii="Times New Roman" w:cs="Times New Roman" w:eastAsia="Times New Roman" w:hAnsi="Times New Roman"/>
          <w:sz w:val="24"/>
          <w:szCs w:val="24"/>
        </w:rPr>
        <w:t xml:space="preserve">We confirm that we have read the Journal's position on issues involved in ethical publication and affirm that this report is consistent with those guidelines.</w:t>
      </w:r>
    </w:p>
    <w:p>
      <w:pPr>
        <w:spacing w:after="120"/>
      </w:pPr>
    </w:p>
    <w:p>
      <w:pPr>
        <w:pStyle w:val="Heading1"/>
        <w:spacing w:after="180" w:before="360"/>
      </w:pPr>
      <w:r>
        <w:rPr>
          <w:rFonts w:ascii="Times New Roman" w:cs="Times New Roman" w:eastAsia="Times New Roman" w:hAnsi="Times New Roman"/>
          <w:b/>
          <w:bCs/>
          <w:sz w:val="28"/>
          <w:szCs w:val="28"/>
        </w:rPr>
        <w:t xml:space="preserve">DATA AVAILABILITY STATEMENT</w:t>
      </w:r>
    </w:p>
    <w:p>
      <w:pPr>
        <w:spacing w:after="0" w:line="480"/>
      </w:pPr>
      <w:r>
        <w:rPr>
          <w:rFonts w:ascii="Times New Roman" w:cs="Times New Roman" w:eastAsia="Times New Roman" w:hAnsi="Times New Roman"/>
          <w:sz w:val="24"/>
          <w:szCs w:val="24"/>
        </w:rPr>
        <w:t xml:space="preserve">[Data availability statement]</w:t>
      </w:r>
    </w:p>
    <w:p>
      <w:pPr>
        <w:spacing w:after="120"/>
      </w:pPr>
    </w:p>
    <w:p>
      <w:pPr>
        <w:pStyle w:val="Heading1"/>
        <w:spacing w:after="180" w:before="360"/>
      </w:pPr>
      <w:r>
        <w:rPr>
          <w:rFonts w:ascii="Times New Roman" w:cs="Times New Roman" w:eastAsia="Times New Roman" w:hAnsi="Times New Roman"/>
          <w:b/>
          <w:bCs/>
          <w:sz w:val="28"/>
          <w:szCs w:val="28"/>
        </w:rPr>
        <w:t xml:space="preserve">REFERENCES</w:t>
      </w:r>
    </w:p>
    <w:p>
      <w:pPr>
        <w:spacing w:after="40" w:line="300"/>
      </w:pPr>
      <w:r>
        <w:rPr>
          <w:rFonts w:ascii="Times New Roman" w:cs="Times New Roman" w:eastAsia="Times New Roman" w:hAnsi="Times New Roman"/>
          <w:sz w:val="24"/>
          <w:szCs w:val="24"/>
        </w:rPr>
        <w:t xml:space="preserve">1. Horton JC. Idiopathic intracranial hypertension. N Engl J Med. 2025;392(10):995-1008. doi:10.1056/NEJMra2404929</w:t>
      </w:r>
    </w:p>
    <w:p>
      <w:pPr>
        <w:spacing w:after="40" w:line="300"/>
      </w:pPr>
      <w:r>
        <w:rPr>
          <w:rFonts w:ascii="Times New Roman" w:cs="Times New Roman" w:eastAsia="Times New Roman" w:hAnsi="Times New Roman"/>
          <w:sz w:val="24"/>
          <w:szCs w:val="24"/>
        </w:rPr>
        <w:t xml:space="preserve">2. Friedman DI, Liu GT, Digre KB. Revised diagnostic criteria for the pseudotumor cerebri syndrome in adults and children. Neurology. 2013;81(13):1159--1165.</w:t>
      </w:r>
    </w:p>
    <w:p>
      <w:pPr>
        <w:spacing w:after="0" w:line="480"/>
      </w:pPr>
      <w:r>
        <w:rPr>
          <w:rFonts w:ascii="Times New Roman" w:cs="Times New Roman" w:eastAsia="Times New Roman" w:hAnsi="Times New Roman"/>
          <w:sz w:val="24"/>
          <w:szCs w:val="24"/>
        </w:rPr>
        <w:t xml:space="preserve">3. Markey KA, Mollan SP, Jensen RH, Sinclair AJ. Understanding idiopathic intracranial hypertension: mechanisms, management, and future directions. Lancet Neurol. 2016;15(1):78-91. doi:10.1016/S1474-4422(15)00298-7</w:t>
      </w:r>
    </w:p>
    <w:p>
      <w:pPr>
        <w:spacing w:after="120"/>
      </w:pPr>
    </w:p>
    <w:p>
      <w:pPr>
        <w:spacing w:after="40" w:line="300"/>
      </w:pPr>
      <w:r>
        <w:rPr>
          <w:rFonts w:ascii="Times New Roman" w:cs="Times New Roman" w:eastAsia="Times New Roman" w:hAnsi="Times New Roman"/>
          <w:sz w:val="24"/>
          <w:szCs w:val="24"/>
        </w:rPr>
        <w:t xml:space="preserve">4. Patel P, Ross A, Henretig FM, et al. Clinical reasoning: a 12-year-old girl with headache and change in mental status. Neurology. 2018;90(11):e1000-e1004.</w:t>
      </w:r>
    </w:p>
    <w:p>
      <w:pPr>
        <w:spacing w:after="0" w:line="480"/>
      </w:pPr>
      <w:r>
        <w:rPr>
          <w:rFonts w:ascii="Times New Roman" w:cs="Times New Roman" w:eastAsia="Times New Roman" w:hAnsi="Times New Roman"/>
          <w:sz w:val="24"/>
          <w:szCs w:val="24"/>
        </w:rPr>
        <w:t xml:space="preserve">5. Olaru C, Langberg S, McCoin NS. A review of the clinical presentation, causes, and diagnostic evaluation of increased intracranial pressure in the emergency department. West J Emerg Med. 2024;25(6):1046-1057.</w:t>
      </w:r>
    </w:p>
    <w:p>
      <w:pPr>
        <w:spacing w:after="120"/>
      </w:pPr>
    </w:p>
    <w:p>
      <w:pPr>
        <w:spacing w:after="0" w:line="480"/>
      </w:pPr>
      <w:r>
        <w:rPr>
          <w:rFonts w:ascii="Times New Roman" w:cs="Times New Roman" w:eastAsia="Times New Roman" w:hAnsi="Times New Roman"/>
          <w:sz w:val="24"/>
          <w:szCs w:val="24"/>
        </w:rPr>
        <w:t xml:space="preserve">6. Saposnik G, Bushnell C, Coutinho JM, et al. Diagnosis and management of cerebral venous thrombosis: a scientific statement from the American Heart Association. Stroke. 2024;55(12):e77-e90. doi:10.1161/STR.0000000000000456</w:t>
      </w:r>
    </w:p>
    <w:p>
      <w:pPr>
        <w:spacing w:after="120"/>
      </w:pPr>
    </w:p>
    <w:p>
      <w:pPr>
        <w:spacing w:after="40" w:line="300"/>
      </w:pPr>
      <w:r>
        <w:rPr>
          <w:rFonts w:ascii="Times New Roman" w:cs="Times New Roman" w:eastAsia="Times New Roman" w:hAnsi="Times New Roman"/>
          <w:sz w:val="24"/>
          <w:szCs w:val="24"/>
        </w:rPr>
        <w:t xml:space="preserve">7. Ropper AH, Klein JP. Cerebral venous thrombosis. N Engl J Med. 2021;385(1):59-64. doi:10.1056/NEJMra2106545</w:t>
      </w:r>
    </w:p>
    <w:p>
      <w:pPr>
        <w:spacing w:after="40" w:line="300"/>
      </w:pPr>
      <w:r>
        <w:rPr>
          <w:rFonts w:ascii="Times New Roman" w:cs="Times New Roman" w:eastAsia="Times New Roman" w:hAnsi="Times New Roman"/>
          <w:sz w:val="24"/>
          <w:szCs w:val="24"/>
        </w:rPr>
        <w:t xml:space="preserve">8. Chen BS, Britton JOT. Expanding the clinical spectrum of idiopathic intracranial hypertension. Curr Opin Neurol. 2023;36(1):80-86.</w:t>
      </w:r>
    </w:p>
    <w:p>
      <w:pPr>
        <w:spacing w:after="0" w:line="480"/>
      </w:pPr>
      <w:r>
        <w:rPr>
          <w:rFonts w:ascii="Times New Roman" w:cs="Times New Roman" w:eastAsia="Times New Roman" w:hAnsi="Times New Roman"/>
          <w:sz w:val="24"/>
          <w:szCs w:val="24"/>
        </w:rPr>
        <w:t xml:space="preserve">9. Toscano S, Lo Fermo S, Reggio E, et al. An update on idiopathic intracranial hypertension in adults: a look at pathophysiology, diagnostic approach and management. J Neurol. 2021;268(9):3249-3268. doi:10.1007/s00415-020-09943-9</w:t>
      </w:r>
    </w:p>
    <w:p>
      <w:pPr>
        <w:spacing w:after="120"/>
      </w:pPr>
    </w:p>
    <w:p>
      <w:pPr>
        <w:spacing w:after="40" w:line="300"/>
      </w:pPr>
      <w:r>
        <w:rPr>
          <w:rFonts w:ascii="Times New Roman" w:cs="Times New Roman" w:eastAsia="Times New Roman" w:hAnsi="Times New Roman"/>
          <w:sz w:val="24"/>
          <w:szCs w:val="24"/>
        </w:rPr>
        <w:t xml:space="preserve">10. Molander LD, Hagen SM, Hansen NS, et al. Patterns of retinal damage and visual long-term consequences in patients with idiopathic intracranial hypertension. Neurology. 2025;104(7):e211234.</w:t>
      </w:r>
    </w:p>
    <w:p>
      <w:pPr>
        <w:spacing w:after="0" w:line="480"/>
      </w:pPr>
      <w:r>
        <w:rPr>
          <w:rFonts w:ascii="Times New Roman" w:cs="Times New Roman" w:eastAsia="Times New Roman" w:hAnsi="Times New Roman"/>
          <w:sz w:val="24"/>
          <w:szCs w:val="24"/>
        </w:rPr>
        <w:t xml:space="preserve">11. von Elm E, Altman DG, Egger M, et al. The Strengthening the Reporting of Observational Studies in Epidemiology (STROBE) statement: guidelines for reporting observational studies. Lancet. 2007;370(9596):1453--1457.</w:t>
      </w:r>
    </w:p>
    <w:p>
      <w:pPr>
        <w:spacing w:after="120"/>
      </w:pPr>
    </w:p>
    <w:p>
      <w:pPr>
        <w:spacing w:after="40" w:line="300"/>
      </w:pPr>
      <w:r>
        <w:rPr>
          <w:rFonts w:ascii="Times New Roman" w:cs="Times New Roman" w:eastAsia="Times New Roman" w:hAnsi="Times New Roman"/>
          <w:sz w:val="24"/>
          <w:szCs w:val="24"/>
        </w:rPr>
        <w:t xml:space="preserve">12. Benchimol EI, Smeeth L, Guttmann A, et al. The REporting of studies Conducted using Observational Routinely-collected health Data (RECORD) statement. PLoS Med. 2015;12(10):e1001885.</w:t>
      </w:r>
    </w:p>
    <w:p>
      <w:pPr>
        <w:spacing w:after="40" w:line="300"/>
      </w:pPr>
      <w:r>
        <w:rPr>
          <w:rFonts w:ascii="Times New Roman" w:cs="Times New Roman" w:eastAsia="Times New Roman" w:hAnsi="Times New Roman"/>
          <w:sz w:val="24"/>
          <w:szCs w:val="24"/>
        </w:rPr>
        <w:t xml:space="preserve">13. Fisher RS, Acevedo C, Arzimanoglou A, et al. ILAE official report: a practical clinical definition of epilepsy. Epilepsia. 2014;55(4):475--482.</w:t>
      </w:r>
    </w:p>
    <w:p>
      <w:pPr>
        <w:spacing w:after="40" w:line="300"/>
      </w:pPr>
      <w:r>
        <w:rPr>
          <w:rFonts w:ascii="Times New Roman" w:cs="Times New Roman" w:eastAsia="Times New Roman" w:hAnsi="Times New Roman"/>
          <w:sz w:val="24"/>
          <w:szCs w:val="24"/>
        </w:rPr>
        <w:t xml:space="preserve">14. Lin DY, Wei LJ. The robust inference for the Cox proportional hazards model. J Am Stat Assoc. 1989;84(408):1074--1078.</w:t>
      </w:r>
    </w:p>
    <w:p>
      <w:pPr>
        <w:spacing w:after="40" w:line="300"/>
      </w:pPr>
      <w:r>
        <w:rPr>
          <w:rFonts w:ascii="Times New Roman" w:cs="Times New Roman" w:eastAsia="Times New Roman" w:hAnsi="Times New Roman"/>
          <w:sz w:val="24"/>
          <w:szCs w:val="24"/>
        </w:rPr>
        <w:t xml:space="preserve">15. Fine JP, Gray RJ. A proportional hazards model for the subdistribution of a competing risk. J Am Stat Assoc. 1999;94(446):1074--1081.</w:t>
      </w:r>
    </w:p>
    <w:p>
      <w:pPr>
        <w:spacing w:after="40" w:line="300"/>
      </w:pPr>
      <w:r>
        <w:rPr>
          <w:rFonts w:ascii="Times New Roman" w:cs="Times New Roman" w:eastAsia="Times New Roman" w:hAnsi="Times New Roman"/>
          <w:sz w:val="24"/>
          <w:szCs w:val="24"/>
        </w:rPr>
        <w:t xml:space="preserve">16. Li F, Morgan KL, Zaslavsky AM. Balancing covariates via propensity score weighting. J Am Stat Assoc. 2018;113(521):390--400.</w:t>
      </w:r>
    </w:p>
    <w:p>
      <w:pPr>
        <w:spacing w:after="40" w:line="300"/>
      </w:pPr>
      <w:r>
        <w:rPr>
          <w:rFonts w:ascii="Times New Roman" w:cs="Times New Roman" w:eastAsia="Times New Roman" w:hAnsi="Times New Roman"/>
          <w:sz w:val="24"/>
          <w:szCs w:val="24"/>
        </w:rPr>
        <w:t xml:space="preserve">17. Lipsitch M, Tchetgen Tchetgen E, Cohen T. Negative controls: a tool for detecting confounding and bias in observational studies. Epidemiology. 2010;21(3):383--388.</w:t>
      </w:r>
    </w:p>
    <w:p>
      <w:pPr>
        <w:spacing w:after="40" w:line="300"/>
      </w:pPr>
      <w:r>
        <w:rPr>
          <w:rFonts w:ascii="Times New Roman" w:cs="Times New Roman" w:eastAsia="Times New Roman" w:hAnsi="Times New Roman"/>
          <w:sz w:val="24"/>
          <w:szCs w:val="24"/>
        </w:rPr>
        <w:t xml:space="preserve">18. Schuemie MJ, Ryan PB, DuMouchel W, Suchard MA, Madigan D. Interpreting observational studies: why empirical calibration is needed to correct p-values. Stat Med. 2014;33(2):209--218.</w:t>
      </w:r>
    </w:p>
    <w:p>
      <w:pPr>
        <w:spacing w:after="40" w:line="300"/>
      </w:pPr>
      <w:r>
        <w:rPr>
          <w:rFonts w:ascii="Times New Roman" w:cs="Times New Roman" w:eastAsia="Times New Roman" w:hAnsi="Times New Roman"/>
          <w:sz w:val="24"/>
          <w:szCs w:val="24"/>
        </w:rPr>
        <w:t xml:space="preserve">19. VanderWeele TJ, Ding P. Sensitivity analysis in observational research: introducing the E-value. Ann Intern Med. 2017;167(4):268--274.</w:t>
      </w:r>
    </w:p>
    <w:p>
      <w:pPr>
        <w:spacing w:after="40" w:line="300"/>
      </w:pPr>
      <w:r>
        <w:rPr>
          <w:rFonts w:ascii="Times New Roman" w:cs="Times New Roman" w:eastAsia="Times New Roman" w:hAnsi="Times New Roman"/>
          <w:sz w:val="24"/>
          <w:szCs w:val="24"/>
        </w:rPr>
        <w:t xml:space="preserve">20. Malow BA, Levy K, Maturen K, Bowes R. Obstructive sleep apnea is common in medically refractory epilepsy patients. Neurology. 2000;55(7):1002--1007.</w:t>
      </w:r>
    </w:p>
    <w:p>
      <w:pPr>
        <w:spacing w:after="40" w:line="300"/>
      </w:pPr>
      <w:r>
        <w:rPr>
          <w:rFonts w:ascii="Times New Roman" w:cs="Times New Roman" w:eastAsia="Times New Roman" w:hAnsi="Times New Roman"/>
          <w:sz w:val="24"/>
          <w:szCs w:val="24"/>
        </w:rPr>
        <w:t xml:space="preserve">21. Reiss WG, Oles KS. Acetazolamide in the treatment of seizures. Ann Pharmacother. 1996;30(5):514--519.</w:t>
      </w:r>
    </w:p>
    <w:p>
      <w:pPr>
        <w:spacing w:after="0" w:line="480"/>
      </w:pPr>
      <w:r>
        <w:rPr>
          <w:rFonts w:ascii="Times New Roman" w:cs="Times New Roman" w:eastAsia="Times New Roman" w:hAnsi="Times New Roman"/>
          <w:sz w:val="24"/>
          <w:szCs w:val="24"/>
        </w:rPr>
        <w:t xml:space="preserve">22. Urbach H, Jamneala G, Mader I, et al. Temporal lobe epilepsy due to meningoencephaloceles into the greater sphenoid wing: a consequence of idiopathic intracranial hypertension? Neuroradiology. 2018;60(1):51--60.</w:t>
      </w:r>
    </w:p>
    <w:p>
      <w:pPr>
        <w:spacing w:after="120"/>
      </w:pPr>
    </w:p>
    <w:p>
      <w:pPr>
        <w:spacing w:after="0" w:line="480"/>
      </w:pPr>
      <w:r>
        <w:rPr>
          <w:rFonts w:ascii="Times New Roman" w:cs="Times New Roman" w:eastAsia="Times New Roman" w:hAnsi="Times New Roman"/>
          <w:sz w:val="24"/>
          <w:szCs w:val="24"/>
        </w:rPr>
        <w:t xml:space="preserve">23. Martinez-Poles J, Toledano R, Jiménez-Huete A, et al. Epilepsy associated with temporal pole encephaloceles: an unrecognized manifestation of idiopathic intracranial hypertension? Clin Neuroradiol. 2021;31(3):575--579.</w:t>
      </w:r>
    </w:p>
    <w:p>
      <w:pPr>
        <w:spacing w:after="120"/>
      </w:pPr>
    </w:p>
    <w:p>
      <w:pPr>
        <w:spacing w:after="40" w:line="300"/>
      </w:pPr>
      <w:r>
        <w:rPr>
          <w:rFonts w:ascii="Times New Roman" w:cs="Times New Roman" w:eastAsia="Times New Roman" w:hAnsi="Times New Roman"/>
          <w:sz w:val="24"/>
          <w:szCs w:val="24"/>
        </w:rPr>
        <w:t xml:space="preserve">24. Sayal AP, Vyas M, Micieli JA. Seizure as the presenting sign of idiopathic intracranial hypertension. BMJ Case Rep. 2022;15(1):e246604.</w:t>
      </w:r>
    </w:p>
    <w:p>
      <w:pPr>
        <w:spacing w:after="0" w:line="480"/>
      </w:pPr>
      <w:r>
        <w:rPr>
          <w:rFonts w:ascii="Times New Roman" w:cs="Times New Roman" w:eastAsia="Times New Roman" w:hAnsi="Times New Roman"/>
          <w:sz w:val="24"/>
          <w:szCs w:val="24"/>
        </w:rPr>
        <w:t xml:space="preserve">25. Bouthour W, Al-Balushi A, Dattilo M, et al. Seizures as the initial manifestation of idiopathic intracranial hypertension (P2-9.001) [abstract]. Neurology. 2023;100(17 Suppl 2). doi:10.1212/WNL.0000000000202518.</w:t>
      </w:r>
    </w:p>
    <w:p>
      <w:pPr>
        <w:spacing w:after="120"/>
      </w:pPr>
    </w:p>
    <w:p>
      <w:pPr>
        <w:spacing w:after="40" w:line="300"/>
      </w:pPr>
      <w:r>
        <w:rPr>
          <w:rFonts w:ascii="Times New Roman" w:cs="Times New Roman" w:eastAsia="Times New Roman" w:hAnsi="Times New Roman"/>
          <w:sz w:val="24"/>
          <w:szCs w:val="24"/>
        </w:rPr>
        <w:t xml:space="preserve">26. Abou-Hamden A, Lau M, Fabinyi G, et al. Small temporal pole encephaloceles: a treatable cause of "lesion negative" temporal lobe epilepsy. Epilepsia. 2010;51(11):2199--2202.</w:t>
      </w:r>
    </w:p>
    <w:p>
      <w:pPr>
        <w:spacing w:after="40" w:line="300"/>
      </w:pPr>
      <w:r>
        <w:rPr>
          <w:rFonts w:ascii="Times New Roman" w:cs="Times New Roman" w:eastAsia="Times New Roman" w:hAnsi="Times New Roman"/>
          <w:sz w:val="24"/>
          <w:szCs w:val="24"/>
        </w:rPr>
        <w:t xml:space="preserve">27. Toledano R, Jiménez-Huete A, Campo P, et al. Small temporal pole encephalocele: a hidden cause of "normal" MRI temporal lobe epilepsy. Epilepsia. 2016;57(5):841--851.</w:t>
      </w:r>
    </w:p>
    <w:p>
      <w:pPr>
        <w:spacing w:after="40" w:line="300"/>
      </w:pPr>
      <w:r>
        <w:rPr>
          <w:rFonts w:ascii="Times New Roman" w:cs="Times New Roman" w:eastAsia="Times New Roman" w:hAnsi="Times New Roman"/>
          <w:sz w:val="24"/>
          <w:szCs w:val="24"/>
        </w:rPr>
        <w:t xml:space="preserve">28. Panov F, Li Y, Chang EF, et al. Epilepsy with temporal encephalocele: characteristics of electrocorticography and surgical outcome. Epilepsia. 2016;57(2):e33--e38.</w:t>
      </w:r>
    </w:p>
    <w:p>
      <w:pPr>
        <w:spacing w:after="40" w:line="300"/>
      </w:pPr>
      <w:r>
        <w:rPr>
          <w:rFonts w:ascii="Times New Roman" w:cs="Times New Roman" w:eastAsia="Times New Roman" w:hAnsi="Times New Roman"/>
          <w:sz w:val="24"/>
          <w:szCs w:val="24"/>
        </w:rPr>
        <w:t xml:space="preserve">29. Tse GT, Frydman AS, O'Shea MF, et al. Anterior temporal encephaloceles: elusive, important, and rewarding to treat. Epilepsia. 2020;61(12):2675--2684.</w:t>
      </w:r>
    </w:p>
    <w:p>
      <w:pPr>
        <w:spacing w:after="40" w:line="300"/>
      </w:pPr>
      <w:r>
        <w:rPr>
          <w:rFonts w:ascii="Times New Roman" w:cs="Times New Roman" w:eastAsia="Times New Roman" w:hAnsi="Times New Roman"/>
          <w:sz w:val="24"/>
          <w:szCs w:val="24"/>
        </w:rPr>
        <w:t xml:space="preserve">30. Bidot S, Saindane AM, Peragallo JH, et al. Brain imaging in idiopathic intracranial hypertension. J Neuroophthalmol. 2015;35(4):400--411.</w:t>
      </w:r>
    </w:p>
    <w:p>
      <w:pPr>
        <w:spacing w:after="40" w:line="300"/>
      </w:pPr>
      <w:r>
        <w:rPr>
          <w:rFonts w:ascii="Times New Roman" w:cs="Times New Roman" w:eastAsia="Times New Roman" w:hAnsi="Times New Roman"/>
          <w:sz w:val="24"/>
          <w:szCs w:val="24"/>
        </w:rPr>
        <w:t xml:space="preserve">31. Ben-Menachem E. Weight issues for people with epilepsy: a review. Epilepsia. 2007;48(Suppl 9):42--45.</w:t>
      </w:r>
    </w:p>
    <w:p>
      <w:r>
        <w:br w:type="page"/>
      </w:r>
    </w:p>
    <w:p>
      <w:pPr>
        <w:pStyle w:val="Heading1"/>
        <w:spacing w:after="200"/>
      </w:pPr>
      <w:r>
        <w:rPr>
          <w:rFonts w:ascii="Times New Roman" w:cs="Times New Roman" w:eastAsia="Times New Roman" w:hAnsi="Times New Roman"/>
          <w:b/>
          <w:bCs/>
          <w:sz w:val="28"/>
          <w:szCs w:val="28"/>
        </w:rPr>
        <w:t xml:space="preserve">TABLES</w:t>
      </w:r>
    </w:p>
    <w:p>
      <w:pPr>
        <w:spacing w:after="120" w:before="360"/>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Baseline characteristics of the matched cohort.</w:t>
      </w:r>
    </w:p>
    <w:tbl>
      <w:tblPr>
        <w:tblW w:type="dxa" w:w="9360"/>
        <w:tblBorders>
          <w:top w:val="single" w:color="404040" w:sz="6"/>
          <w:left w:val="none"/>
          <w:bottom w:val="single" w:color="404040" w:sz="6"/>
          <w:right w:val="none"/>
          <w:insideH w:val="single" w:color="CCCCCC" w:sz="2"/>
          <w:insideV w:val="none"/>
        </w:tblBorders>
      </w:tblPr>
      <w:tblGrid>
        <w:gridCol w:w="3560"/>
        <w:gridCol w:w="2160"/>
        <w:gridCol w:w="2340"/>
        <w:gridCol w:w="1300"/>
      </w:tblGrid>
      <w:tr>
        <w:trPr>
          <w:tblHeader/>
        </w:trPr>
        <w:tc>
          <w:tcPr>
            <w:tcW w:type="dxa" w:w="3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21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(n = 2,138)</w:t>
            </w:r>
          </w:p>
        </w:tc>
        <w:tc>
          <w:tcPr>
            <w:tcW w:type="dxa" w:w="23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(n = 5,743)</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2,138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5,743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Person-years</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4563.0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9375.2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Follow-up, years,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2.77 (1.23-3.00)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1.51 (0.52-3.00)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at index, years,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34.9 (10.2)</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35.5 (9.5)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-0.065</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Female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1875 (87.7%)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4972 (86.6%)</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0.034</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BMI, kg/m2,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36.5 (7.3)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36.2 (6.5)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0.050</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Obese (BMI &gt;= 30)</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1712 (80.1%)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4478 (78.0%)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Hypertension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473 (22.1%)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940 (16.4%)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Obstructive sleep apnea</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630 (29.5%)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884 (15.4%)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Polycystic ovary syndrome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264 (12.3%)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418 (7.3%)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0.171</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Bariatric surgery</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74 (3.5%)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124 (2.2%)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0.079</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(26.5)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9.2 (15.2)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0.526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12.00 (5.00-26.00)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4.00 (1.00-10.00)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Current smoker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16 (0.7%)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433 (7.5%)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Died during follow-up</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38 (1.8%)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89 (1.5%)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0.018</w:t>
            </w:r>
          </w:p>
        </w:tc>
      </w:tr>
    </w:tbl>
    <w:p>
      <w:pPr>
        <w:spacing w:after="240" w:before="90"/>
      </w:pPr>
      <w:r>
        <w:rPr>
          <w:rFonts w:ascii="Times New Roman" w:cs="Times New Roman" w:eastAsia="Times New Roman" w:hAnsi="Times New Roman"/>
          <w:i/>
          <w:iCs/>
          <w:color w:val="595959"/>
          <w:sz w:val="17"/>
          <w:szCs w:val="17"/>
        </w:rPr>
        <w:t xml:space="preserve">SMD, standardized mean difference. Four covariates exceed |SMD| 0.10 and represent residual imbalance: hypertension, obstructive sleep apnea, polycystic ovary syndrome and pre-index clinical visits. Smoking was not comparably recorded between the two source extracts and was not used as a covariate. Opening pressure was available for 1,585 patients with IIH (74%), mean 29.5 cmH2O (SD 9.7), and was not recorded for comparators.</w:t>
      </w:r>
    </w:p>
    <w:p>
      <w:pPr>
        <w:spacing w:after="120" w:before="360"/>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Incident seizure or epilepsy: primary analysis and prespecified sensitivity analyses.</w:t>
      </w:r>
    </w:p>
    <w:tbl>
      <w:tblPr>
        <w:tblW w:type="dxa" w:w="9360"/>
        <w:tblBorders>
          <w:top w:val="single" w:color="404040" w:sz="6"/>
          <w:left w:val="none"/>
          <w:bottom w:val="single" w:color="404040" w:sz="6"/>
          <w:right w:val="none"/>
          <w:insideH w:val="single" w:color="CCCCCC" w:sz="2"/>
          <w:insideV w:val="none"/>
        </w:tblBorders>
      </w:tblPr>
      <w:tblGrid>
        <w:gridCol w:w="3860"/>
        <w:gridCol w:w="1740"/>
        <w:gridCol w:w="1960"/>
        <w:gridCol w:w="1800"/>
      </w:tblGrid>
      <w:tr>
        <w:trPr>
          <w:tblHeader/>
        </w:trPr>
        <w:tc>
          <w:tcPr>
            <w:tcW w:type="dxa" w:w="38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Analysis</w:t>
            </w:r>
          </w:p>
        </w:tc>
        <w:tc>
          <w:tcPr>
            <w:tcW w:type="dxa" w:w="17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 / n</w:t>
            </w:r>
          </w:p>
        </w:tc>
        <w:tc>
          <w:tcPr>
            <w:tcW w:type="dxa" w:w="1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 / n</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Primary analysis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Codes only, medication criterion removed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1.93 (1.34 to 2.77)</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Epilepsy-specific codes only (G40.x / 345.x)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2.30 (1.35 to 3.92)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Opening pressure 25 cmH2O or higher</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36/1122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34/2986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2.25 (1.41 to 3.59)</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All encounter rows counted as contact</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65/2507</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67/7905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2.79 (1.98 to 3.93)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Complete matched sets only</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61/4954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(1.46 to 2.92)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18 years or older at index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64/2076</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63/5699</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2.26 (1.59 to 3.20)</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30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2.49 (1.73 to 3.58)</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90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2.29 (1.54 to 3.41)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180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2.22 (1.40 to 3.51)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Fine-Gray subdistribution hazard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Overlap-weighted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2.31 (1.56 to 3.43)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Adjusted for OSA, hypertension and PCOS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2.11 (1.48 to 3.01)</w:t>
            </w:r>
          </w:p>
        </w:tc>
      </w:tr>
    </w:tbl>
    <w:p>
      <w:pPr>
        <w:spacing w:after="240" w:before="90"/>
      </w:pPr>
      <w:r>
        <w:rPr>
          <w:rFonts w:ascii="Times New Roman" w:cs="Times New Roman" w:eastAsia="Times New Roman" w:hAnsi="Times New Roman"/>
          <w:i/>
          <w:iCs/>
          <w:color w:val="595959"/>
          <w:sz w:val="17"/>
          <w:szCs w:val="17"/>
        </w:rPr>
        <w:t xml:space="preserve">All models are Cox proportional-hazards models with a robust variance clustered by matched set. Primary analysis: 14.46 (95% CI 11.19-18.40) versus 6.72 (5.16-8.60) per 1,000 person-years over 4,563.0 and 9,375.2 person-years; 3-year cumulative incidence 3.83% versus 1.71%, absolute difference 2.12 percentage points; proportional-hazards p = 0.94. Cause-specific hazard ratio for death 0.61 (0.29-1.29).</w:t>
      </w:r>
    </w:p>
    <w:p>
      <w:pPr>
        <w:spacing w:after="120" w:before="360"/>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Negative-control outcomes: baseline imbalance, post-index association and unadjusted rate ratios.</w:t>
      </w:r>
    </w:p>
    <w:tbl>
      <w:tblPr>
        <w:tblW w:type="dxa" w:w="9360"/>
        <w:tblBorders>
          <w:top w:val="single" w:color="404040" w:sz="6"/>
          <w:left w:val="none"/>
          <w:bottom w:val="single" w:color="404040" w:sz="6"/>
          <w:right w:val="none"/>
          <w:insideH w:val="single" w:color="CCCCCC" w:sz="2"/>
          <w:insideV w:val="none"/>
        </w:tblBorders>
      </w:tblPr>
      <w:tblGrid>
        <w:gridCol w:w="3260"/>
        <w:gridCol w:w="2100"/>
        <w:gridCol w:w="2200"/>
        <w:gridCol w:w="1800"/>
      </w:tblGrid>
      <w:tr>
        <w:trPr>
          <w:tblHeader/>
        </w:trPr>
        <w:tc>
          <w:tcPr>
            <w:tcW w:type="dxa" w:w="3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Baseline prevalence ratio</w:t>
            </w:r>
          </w:p>
        </w:tc>
        <w:tc>
          <w:tcPr>
            <w:tcW w:type="dxa" w:w="22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Post-index HR (95% CI)</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 rate ratio (95% CI)</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Herpes zoster</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3.24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2.98 (1.41 to 6.32)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2.92 (1.39 to 6.11)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Renal/ureteric stone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(2.09 to 4.56)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3.00 (2.04 to 4.42)</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Gallstones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(1.29 to 3.11)</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(1.30 to 3.14)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Acute appendicitis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1.06 (0.32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1.02 (0.31 to 3.39)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Carpal tunnel</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 (1.77 to 4.57)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2.90 (1.80 to 4.67)</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Upper respiratory infection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2.03</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(1.65 to 2.48)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(1.63 to 2.44)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Otitis media or externa</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(2.15 to 4.43)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3.06 (2.14 to 4.38)</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Sprain or strain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2.47 (1.67 to 3.67)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2.44 (1.65 to 3.61)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Laceration or open wound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4.28 (2.37 to 7.75)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4.31 (2.37 to 7.83)</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Contact dermatitis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2.55</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3.49)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Fracture, excluding skull/face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1.82</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1.22 (0.76 to 1.98)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Seizure or epilepsy (primary outcome)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2.15 (1.52 to 3.04)</w:t>
            </w:r>
          </w:p>
        </w:tc>
      </w:tr>
    </w:tbl>
    <w:p>
      <w:pPr>
        <w:spacing w:after="240" w:before="90"/>
      </w:pPr>
      <w:r>
        <w:rPr>
          <w:rFonts w:ascii="Times New Roman" w:cs="Times New Roman" w:eastAsia="Times New Roman" w:hAnsi="Times New Roman"/>
          <w:i/>
          <w:iCs/>
          <w:color w:val="595959"/>
          <w:sz w:val="17"/>
          <w:szCs w:val="17"/>
        </w:rPr>
        <w:t xml:space="preserve">All 11 negative-control outcomes were more prevalent in the IIH group before the index date (prevalence ratios 1.6-5.0, all p &lt; 0.01); none met the prespecified balance criterion. Eight of 11 had post-index confidence intervals excluding 1. On unadjusted rate ratios the primary outcome (2.15) was lower than 6 of the 11 controls. Empirical calibration: r = 0.66, p = 0.026; predicted detection-only hazard ratio at baseline balance 1.04 (95% CI 0.37-2.90).</w:t>
      </w:r>
    </w:p>
    <w:p>
      <w:r>
        <w:br w:type="page"/>
      </w:r>
    </w:p>
    <w:p>
      <w:pPr>
        <w:pStyle w:val="Heading1"/>
        <w:spacing w:after="200"/>
      </w:pPr>
      <w:r>
        <w:rPr>
          <w:rFonts w:ascii="Times New Roman" w:cs="Times New Roman" w:eastAsia="Times New Roman" w:hAnsi="Times New Roman"/>
          <w:b/>
          <w:bCs/>
          <w:sz w:val="28"/>
          <w:szCs w:val="28"/>
        </w:rPr>
        <w:t xml:space="preserve">FIGURES</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Cumulative incidence of incident seizure or epilepsy after the 180-day washout, by cohort. Estimated with the Aalen-Johansen method treating death as a competing event; shaded bands are 95% confidence intervals. Three-year cumulative incidence was 3.83% in the IIH group and 1.71% among comparators (absolute difference 2.12 percentage points; hazard ratio 2.28, 95% CI 1.62-3.22).</w:t>
      </w:r>
    </w:p>
    <w:p>
      <w:pPr>
        <w:spacing w:after="100" w:before="300"/>
        <w:jc w:val="center"/>
      </w:pPr>
      <w:r>
        <w:drawing>
          <wp:inline distT="0" distB="0" distL="0" distR="0">
            <wp:extent cx="44577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8479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Hazard ratio for incident seizure or epilepsy across outcome definitions, cohort restrictions, follow-up landmarks and analytic models. Points are hazard ratios and horizontal lines 95% confidence intervals, on a logarithmic scale; the diamond marks the primary analysis and the dashed line its point estimate. Point estimates range from 1.93 to 2.79 and every confidence interval excludes 1.</w:t>
      </w:r>
    </w:p>
    <w:p>
      <w:pPr>
        <w:spacing w:after="100" w:before="300"/>
        <w:jc w:val="center"/>
      </w:pPr>
      <w:r>
        <w:drawing>
          <wp:inline distT="0" distB="0" distL="0" distR="0">
            <wp:extent cx="40481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48125" cy="33718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 </w:t>
      </w:r>
      <w:r>
        <w:rPr>
          <w:rFonts w:ascii="Times New Roman" w:cs="Times New Roman" w:eastAsia="Times New Roman" w:hAnsi="Times New Roman"/>
          <w:sz w:val="21"/>
          <w:szCs w:val="21"/>
        </w:rPr>
        <w:t xml:space="preserve">Change in the estimated association for every outcome on adjustment for pre-index healthcare contact. Each line is one outcome, drawn from its unadjusted to its contact-adjusted hazard ratio on a logarithmic scale; orange lines are the 11 negative-control outcomes and the blue line is the primary outcome. Unadjusted, the seizure estimate (2.28) lies among the negative controls. On adjustment all 11 controls move toward the null (-18.8% to -42.6%), whereas the seizure estimate moves away from it (+12.6%). An outcome generated purely by differential detection would be expected to behave as the controls do.</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12bd85177b6e73199b24813b31ea8f490e4bef.png"/><Relationship Id="rId9" Type="http://schemas.openxmlformats.org/officeDocument/2006/relationships/image" Target="media/4662e88acf3eff02377dd4e842840ed1722eb3bd.png"/><Relationship Id="rId10" Type="http://schemas.openxmlformats.org/officeDocument/2006/relationships/image" Target="media/d35fc47c096aca52e3b48b74c5af061ea2736da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Following Idiopathic Intracranial Hypertension</dc:title>
  <dc:creator>Selim Tarabeah</dc:creator>
  <cp:lastModifiedBy>Un-named</cp:lastModifiedBy>
  <cp:revision>1</cp:revision>
  <dcterms:created xsi:type="dcterms:W3CDTF">2026-09-25T15:49:17.842Z</dcterms:created>
  <dcterms:modified xsi:type="dcterms:W3CDTF">2026-09-25T15:49:17.842Z</dcterms:modified>
</cp:coreProperties>
</file>

<file path=docProps/custom.xml><?xml version="1.0" encoding="utf-8"?>
<Properties xmlns="http://schemas.openxmlformats.org/officeDocument/2006/custom-properties" xmlns:vt="http://schemas.openxmlformats.org/officeDocument/2006/docPropsVTypes"/>
</file>