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Tables</w:t>
      </w:r>
    </w:p>
    <w:p>
      <w:pPr>
        <w:spacing w:after="120" w:before="36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Table 1.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Baseline characteristics of the matched cohort.</w:t>
      </w:r>
    </w:p>
    <w:tbl>
      <w:tblPr>
        <w:tblW w:type="dxa" w:w="9360"/>
        <w:tblBorders>
          <w:top w:val="single" w:color="404040" w:sz="6"/>
          <w:left w:val="none"/>
          <w:bottom w:val="single" w:color="404040" w:sz="6"/>
          <w:right w:val="none"/>
          <w:insideH w:val="single" w:color="CCCCCC" w:sz="2"/>
          <w:insideV w:val="none"/>
        </w:tblBorders>
      </w:tblPr>
      <w:tblGrid>
        <w:gridCol w:w="3560"/>
        <w:gridCol w:w="2160"/>
        <w:gridCol w:w="2340"/>
        <w:gridCol w:w="1300"/>
      </w:tblGrid>
      <w:tr>
        <w:trPr>
          <w:tblHeader/>
        </w:trPr>
        <w:tc>
          <w:tcPr>
            <w:tcW w:type="dxa" w:w="3560"/>
            <w:shd w:fill="EDF1F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Characteristic</w:t>
            </w:r>
          </w:p>
        </w:tc>
        <w:tc>
          <w:tcPr>
            <w:tcW w:type="dxa" w:w="2160"/>
            <w:shd w:fill="EDF1F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IIH (n = 2,138)</w:t>
            </w:r>
          </w:p>
        </w:tc>
        <w:tc>
          <w:tcPr>
            <w:tcW w:type="dxa" w:w="2340"/>
            <w:shd w:fill="EDF1F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Comparator (n = 5,743)</w:t>
            </w:r>
          </w:p>
        </w:tc>
        <w:tc>
          <w:tcPr>
            <w:tcW w:type="dxa" w:w="1300"/>
            <w:shd w:fill="EDF1F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SMD</w:t>
            </w:r>
          </w:p>
        </w:tc>
      </w:tr>
      <w:tr>
        <w:trPr>
          <w:tblHeader w:val="false"/>
        </w:trPr>
        <w:tc>
          <w:tcPr>
            <w:tcW w:type="dxa" w:w="35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n</w:t>
            </w:r>
          </w:p>
        </w:tc>
        <w:tc>
          <w:tcPr>
            <w:tcW w:type="dxa" w:w="21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2,138</w:t>
            </w:r>
          </w:p>
        </w:tc>
        <w:tc>
          <w:tcPr>
            <w:tcW w:type="dxa" w:w="234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5,743</w:t>
            </w:r>
          </w:p>
        </w:tc>
        <w:tc>
          <w:tcPr>
            <w:tcW w:type="dxa" w:w="13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5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Person-years</w:t>
            </w:r>
          </w:p>
        </w:tc>
        <w:tc>
          <w:tcPr>
            <w:tcW w:type="dxa" w:w="21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4563.0</w:t>
            </w:r>
          </w:p>
        </w:tc>
        <w:tc>
          <w:tcPr>
            <w:tcW w:type="dxa" w:w="234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9375.2</w:t>
            </w:r>
          </w:p>
        </w:tc>
        <w:tc>
          <w:tcPr>
            <w:tcW w:type="dxa" w:w="13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5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Follow-up, years, median (IQR)</w:t>
            </w:r>
          </w:p>
        </w:tc>
        <w:tc>
          <w:tcPr>
            <w:tcW w:type="dxa" w:w="21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2.77 (1.23-3.00)</w:t>
            </w:r>
          </w:p>
        </w:tc>
        <w:tc>
          <w:tcPr>
            <w:tcW w:type="dxa" w:w="234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1.51 (0.52-3.00)</w:t>
            </w:r>
          </w:p>
        </w:tc>
        <w:tc>
          <w:tcPr>
            <w:tcW w:type="dxa" w:w="13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5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Age at index, years, mean (SD)</w:t>
            </w:r>
          </w:p>
        </w:tc>
        <w:tc>
          <w:tcPr>
            <w:tcW w:type="dxa" w:w="21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34.9 (10.2)</w:t>
            </w:r>
          </w:p>
        </w:tc>
        <w:tc>
          <w:tcPr>
            <w:tcW w:type="dxa" w:w="234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35.5 (9.5)</w:t>
            </w:r>
          </w:p>
        </w:tc>
        <w:tc>
          <w:tcPr>
            <w:tcW w:type="dxa" w:w="13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-0.065</w:t>
            </w:r>
          </w:p>
        </w:tc>
      </w:tr>
      <w:tr>
        <w:trPr>
          <w:tblHeader w:val="false"/>
        </w:trPr>
        <w:tc>
          <w:tcPr>
            <w:tcW w:type="dxa" w:w="35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Female</w:t>
            </w:r>
          </w:p>
        </w:tc>
        <w:tc>
          <w:tcPr>
            <w:tcW w:type="dxa" w:w="21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1875 (87.7%)</w:t>
            </w:r>
          </w:p>
        </w:tc>
        <w:tc>
          <w:tcPr>
            <w:tcW w:type="dxa" w:w="234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4972 (86.6%)</w:t>
            </w:r>
          </w:p>
        </w:tc>
        <w:tc>
          <w:tcPr>
            <w:tcW w:type="dxa" w:w="13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0.034</w:t>
            </w:r>
          </w:p>
        </w:tc>
      </w:tr>
      <w:tr>
        <w:trPr>
          <w:tblHeader w:val="false"/>
        </w:trPr>
        <w:tc>
          <w:tcPr>
            <w:tcW w:type="dxa" w:w="35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BMI, kg/m2, mean (SD)</w:t>
            </w:r>
          </w:p>
        </w:tc>
        <w:tc>
          <w:tcPr>
            <w:tcW w:type="dxa" w:w="21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36.5 (7.3)</w:t>
            </w:r>
          </w:p>
        </w:tc>
        <w:tc>
          <w:tcPr>
            <w:tcW w:type="dxa" w:w="234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36.2 (6.5)</w:t>
            </w:r>
          </w:p>
        </w:tc>
        <w:tc>
          <w:tcPr>
            <w:tcW w:type="dxa" w:w="13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0.050</w:t>
            </w:r>
          </w:p>
        </w:tc>
      </w:tr>
      <w:tr>
        <w:trPr>
          <w:tblHeader w:val="false"/>
        </w:trPr>
        <w:tc>
          <w:tcPr>
            <w:tcW w:type="dxa" w:w="35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Obese (BMI &gt;= 30)</w:t>
            </w:r>
          </w:p>
        </w:tc>
        <w:tc>
          <w:tcPr>
            <w:tcW w:type="dxa" w:w="21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1712 (80.1%)</w:t>
            </w:r>
          </w:p>
        </w:tc>
        <w:tc>
          <w:tcPr>
            <w:tcW w:type="dxa" w:w="234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4478 (78.0%)</w:t>
            </w:r>
          </w:p>
        </w:tc>
        <w:tc>
          <w:tcPr>
            <w:tcW w:type="dxa" w:w="13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0.052</w:t>
            </w:r>
          </w:p>
        </w:tc>
      </w:tr>
      <w:tr>
        <w:trPr>
          <w:tblHeader w:val="false"/>
        </w:trPr>
        <w:tc>
          <w:tcPr>
            <w:tcW w:type="dxa" w:w="35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Hypertension</w:t>
            </w:r>
          </w:p>
        </w:tc>
        <w:tc>
          <w:tcPr>
            <w:tcW w:type="dxa" w:w="21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473 (22.1%)</w:t>
            </w:r>
          </w:p>
        </w:tc>
        <w:tc>
          <w:tcPr>
            <w:tcW w:type="dxa" w:w="234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940 (16.4%)</w:t>
            </w:r>
          </w:p>
        </w:tc>
        <w:tc>
          <w:tcPr>
            <w:tcW w:type="dxa" w:w="13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0.146</w:t>
            </w:r>
          </w:p>
        </w:tc>
      </w:tr>
      <w:tr>
        <w:trPr>
          <w:tblHeader w:val="false"/>
        </w:trPr>
        <w:tc>
          <w:tcPr>
            <w:tcW w:type="dxa" w:w="35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Obstructive sleep apnoea</w:t>
            </w:r>
          </w:p>
        </w:tc>
        <w:tc>
          <w:tcPr>
            <w:tcW w:type="dxa" w:w="21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630 (29.5%)</w:t>
            </w:r>
          </w:p>
        </w:tc>
        <w:tc>
          <w:tcPr>
            <w:tcW w:type="dxa" w:w="234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884 (15.4%)</w:t>
            </w:r>
          </w:p>
        </w:tc>
        <w:tc>
          <w:tcPr>
            <w:tcW w:type="dxa" w:w="13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0.342</w:t>
            </w:r>
          </w:p>
        </w:tc>
      </w:tr>
      <w:tr>
        <w:trPr>
          <w:tblHeader w:val="false"/>
        </w:trPr>
        <w:tc>
          <w:tcPr>
            <w:tcW w:type="dxa" w:w="35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Polycystic ovary syndrome</w:t>
            </w:r>
          </w:p>
        </w:tc>
        <w:tc>
          <w:tcPr>
            <w:tcW w:type="dxa" w:w="21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264 (12.3%)</w:t>
            </w:r>
          </w:p>
        </w:tc>
        <w:tc>
          <w:tcPr>
            <w:tcW w:type="dxa" w:w="234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418 (7.3%)</w:t>
            </w:r>
          </w:p>
        </w:tc>
        <w:tc>
          <w:tcPr>
            <w:tcW w:type="dxa" w:w="13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0.171</w:t>
            </w:r>
          </w:p>
        </w:tc>
      </w:tr>
      <w:tr>
        <w:trPr>
          <w:tblHeader w:val="false"/>
        </w:trPr>
        <w:tc>
          <w:tcPr>
            <w:tcW w:type="dxa" w:w="35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Bariatric surgery</w:t>
            </w:r>
          </w:p>
        </w:tc>
        <w:tc>
          <w:tcPr>
            <w:tcW w:type="dxa" w:w="21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74 (3.5%)</w:t>
            </w:r>
          </w:p>
        </w:tc>
        <w:tc>
          <w:tcPr>
            <w:tcW w:type="dxa" w:w="234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124 (2.2%)</w:t>
            </w:r>
          </w:p>
        </w:tc>
        <w:tc>
          <w:tcPr>
            <w:tcW w:type="dxa" w:w="13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0.079</w:t>
            </w:r>
          </w:p>
        </w:tc>
      </w:tr>
      <w:tr>
        <w:trPr>
          <w:tblHeader w:val="false"/>
        </w:trPr>
        <w:tc>
          <w:tcPr>
            <w:tcW w:type="dxa" w:w="35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Clinical visits, 12 months before index, mean (SD)</w:t>
            </w:r>
          </w:p>
        </w:tc>
        <w:tc>
          <w:tcPr>
            <w:tcW w:type="dxa" w:w="21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20.6 (26.5)</w:t>
            </w:r>
          </w:p>
        </w:tc>
        <w:tc>
          <w:tcPr>
            <w:tcW w:type="dxa" w:w="234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9.2 (15.2)</w:t>
            </w:r>
          </w:p>
        </w:tc>
        <w:tc>
          <w:tcPr>
            <w:tcW w:type="dxa" w:w="13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0.526</w:t>
            </w:r>
          </w:p>
        </w:tc>
      </w:tr>
      <w:tr>
        <w:trPr>
          <w:tblHeader w:val="false"/>
        </w:trPr>
        <w:tc>
          <w:tcPr>
            <w:tcW w:type="dxa" w:w="35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Clinical visits, 12 months before index, median (IQR)</w:t>
            </w:r>
          </w:p>
        </w:tc>
        <w:tc>
          <w:tcPr>
            <w:tcW w:type="dxa" w:w="21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12.00 (5.00-26.00)</w:t>
            </w:r>
          </w:p>
        </w:tc>
        <w:tc>
          <w:tcPr>
            <w:tcW w:type="dxa" w:w="234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4.00 (1.00-10.00)</w:t>
            </w:r>
          </w:p>
        </w:tc>
        <w:tc>
          <w:tcPr>
            <w:tcW w:type="dxa" w:w="13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5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Current smoker</w:t>
            </w:r>
          </w:p>
        </w:tc>
        <w:tc>
          <w:tcPr>
            <w:tcW w:type="dxa" w:w="21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16 (0.7%)</w:t>
            </w:r>
          </w:p>
        </w:tc>
        <w:tc>
          <w:tcPr>
            <w:tcW w:type="dxa" w:w="234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433 (7.5%)</w:t>
            </w:r>
          </w:p>
        </w:tc>
        <w:tc>
          <w:tcPr>
            <w:tcW w:type="dxa" w:w="13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-0.346</w:t>
            </w:r>
          </w:p>
        </w:tc>
      </w:tr>
      <w:tr>
        <w:trPr>
          <w:tblHeader w:val="false"/>
        </w:trPr>
        <w:tc>
          <w:tcPr>
            <w:tcW w:type="dxa" w:w="35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Died during follow-up</w:t>
            </w:r>
          </w:p>
        </w:tc>
        <w:tc>
          <w:tcPr>
            <w:tcW w:type="dxa" w:w="21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38 (1.8%)</w:t>
            </w:r>
          </w:p>
        </w:tc>
        <w:tc>
          <w:tcPr>
            <w:tcW w:type="dxa" w:w="234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89 (1.5%)</w:t>
            </w:r>
          </w:p>
        </w:tc>
        <w:tc>
          <w:tcPr>
            <w:tcW w:type="dxa" w:w="13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0.018</w:t>
            </w:r>
          </w:p>
        </w:tc>
      </w:tr>
    </w:tbl>
    <w:p>
      <w:pPr>
        <w:spacing w:after="260" w:before="90"/>
      </w:pPr>
      <w:r>
        <w:rPr>
          <w:rFonts w:ascii="Times New Roman" w:cs="Times New Roman" w:eastAsia="Times New Roman" w:hAnsi="Times New Roman"/>
          <w:i/>
          <w:iCs/>
          <w:color w:val="595959"/>
          <w:sz w:val="17"/>
          <w:szCs w:val="17"/>
        </w:rPr>
        <w:t xml:space="preserve">SMD, standardized mean difference; IQR, interquartile range. Matching was on sex, age, body mass index and BMI calendar year. Four covariates exceed |SMD| 0.10 and represent residual imbalance: hypertension, obstructive sleep apnea, polycystic ovary syndrome and pre-index clinical visits. Smoking was not comparably recorded between the two source extracts and was not used as a covariate. Opening pressure was available for 1,585 patients with IIH (74%), mean 29.5 cmH2O (SD 9.7), and was not recorded for comparators. Source: Z_T02.</w:t>
      </w:r>
    </w:p>
    <w:p>
      <w:pPr>
        <w:spacing w:after="120" w:before="36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Table 2.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Incident seizure or epilepsy: primary analysis and prespecified sensitivity analyses.</w:t>
      </w:r>
    </w:p>
    <w:tbl>
      <w:tblPr>
        <w:tblW w:type="dxa" w:w="9360"/>
        <w:tblBorders>
          <w:top w:val="single" w:color="404040" w:sz="6"/>
          <w:left w:val="none"/>
          <w:bottom w:val="single" w:color="404040" w:sz="6"/>
          <w:right w:val="none"/>
          <w:insideH w:val="single" w:color="CCCCCC" w:sz="2"/>
          <w:insideV w:val="none"/>
        </w:tblBorders>
      </w:tblPr>
      <w:tblGrid>
        <w:gridCol w:w="3860"/>
        <w:gridCol w:w="1740"/>
        <w:gridCol w:w="1960"/>
        <w:gridCol w:w="1800"/>
      </w:tblGrid>
      <w:tr>
        <w:trPr>
          <w:tblHeader/>
        </w:trPr>
        <w:tc>
          <w:tcPr>
            <w:tcW w:type="dxa" w:w="3860"/>
            <w:shd w:fill="EDF1F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Analysis</w:t>
            </w:r>
          </w:p>
        </w:tc>
        <w:tc>
          <w:tcPr>
            <w:tcW w:type="dxa" w:w="1740"/>
            <w:shd w:fill="EDF1F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IIH events / n</w:t>
            </w:r>
          </w:p>
        </w:tc>
        <w:tc>
          <w:tcPr>
            <w:tcW w:type="dxa" w:w="1960"/>
            <w:shd w:fill="EDF1F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Comparator events / n</w:t>
            </w:r>
          </w:p>
        </w:tc>
        <w:tc>
          <w:tcPr>
            <w:tcW w:type="dxa" w:w="1800"/>
            <w:shd w:fill="EDF1F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Hazard ratio (95% CI)</w:t>
            </w:r>
          </w:p>
        </w:tc>
      </w:tr>
      <w:tr>
        <w:trPr>
          <w:tblHeader w:val="false"/>
        </w:trPr>
        <w:tc>
          <w:tcPr>
            <w:tcW w:type="dxa" w:w="38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Primary analysis</w:t>
            </w:r>
          </w:p>
        </w:tc>
        <w:tc>
          <w:tcPr>
            <w:tcW w:type="dxa" w:w="174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66/2138</w:t>
            </w:r>
          </w:p>
        </w:tc>
        <w:tc>
          <w:tcPr>
            <w:tcW w:type="dxa" w:w="19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63/5743</w:t>
            </w:r>
          </w:p>
        </w:tc>
        <w:tc>
          <w:tcPr>
            <w:tcW w:type="dxa" w:w="18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2.28 (1.62 to 3.22)</w:t>
            </w:r>
          </w:p>
        </w:tc>
      </w:tr>
      <w:tr>
        <w:trPr>
          <w:tblHeader w:val="false"/>
        </w:trPr>
        <w:tc>
          <w:tcPr>
            <w:tcW w:type="dxa" w:w="38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Codes only, medication criterion removed</w:t>
            </w:r>
          </w:p>
        </w:tc>
        <w:tc>
          <w:tcPr>
            <w:tcW w:type="dxa" w:w="174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56/2138</w:t>
            </w:r>
          </w:p>
        </w:tc>
        <w:tc>
          <w:tcPr>
            <w:tcW w:type="dxa" w:w="19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63/5743</w:t>
            </w:r>
          </w:p>
        </w:tc>
        <w:tc>
          <w:tcPr>
            <w:tcW w:type="dxa" w:w="18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1.93 (1.34 to 2.77)</w:t>
            </w:r>
          </w:p>
        </w:tc>
      </w:tr>
      <w:tr>
        <w:trPr>
          <w:tblHeader w:val="false"/>
        </w:trPr>
        <w:tc>
          <w:tcPr>
            <w:tcW w:type="dxa" w:w="38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Epilepsy-specific codes only (G40.x / 345.x)</w:t>
            </w:r>
          </w:p>
        </w:tc>
        <w:tc>
          <w:tcPr>
            <w:tcW w:type="dxa" w:w="174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26/2138</w:t>
            </w:r>
          </w:p>
        </w:tc>
        <w:tc>
          <w:tcPr>
            <w:tcW w:type="dxa" w:w="19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24/5743</w:t>
            </w:r>
          </w:p>
        </w:tc>
        <w:tc>
          <w:tcPr>
            <w:tcW w:type="dxa" w:w="18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2.30 (1.35 to 3.92)</w:t>
            </w:r>
          </w:p>
        </w:tc>
      </w:tr>
      <w:tr>
        <w:trPr>
          <w:tblHeader w:val="false"/>
        </w:trPr>
        <w:tc>
          <w:tcPr>
            <w:tcW w:type="dxa" w:w="38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Opening pressure 25 cmH2O or higher</w:t>
            </w:r>
          </w:p>
        </w:tc>
        <w:tc>
          <w:tcPr>
            <w:tcW w:type="dxa" w:w="174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36/1122</w:t>
            </w:r>
          </w:p>
        </w:tc>
        <w:tc>
          <w:tcPr>
            <w:tcW w:type="dxa" w:w="19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34/2986</w:t>
            </w:r>
          </w:p>
        </w:tc>
        <w:tc>
          <w:tcPr>
            <w:tcW w:type="dxa" w:w="18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2.25 (1.41 to 3.59)</w:t>
            </w:r>
          </w:p>
        </w:tc>
      </w:tr>
      <w:tr>
        <w:trPr>
          <w:tblHeader w:val="false"/>
        </w:trPr>
        <w:tc>
          <w:tcPr>
            <w:tcW w:type="dxa" w:w="38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All encounter rows counted as contact</w:t>
            </w:r>
          </w:p>
        </w:tc>
        <w:tc>
          <w:tcPr>
            <w:tcW w:type="dxa" w:w="174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65/2507</w:t>
            </w:r>
          </w:p>
        </w:tc>
        <w:tc>
          <w:tcPr>
            <w:tcW w:type="dxa" w:w="19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67/7905</w:t>
            </w:r>
          </w:p>
        </w:tc>
        <w:tc>
          <w:tcPr>
            <w:tcW w:type="dxa" w:w="18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2.79 (1.98 to 3.93)</w:t>
            </w:r>
          </w:p>
        </w:tc>
      </w:tr>
      <w:tr>
        <w:trPr>
          <w:tblHeader w:val="false"/>
        </w:trPr>
        <w:tc>
          <w:tcPr>
            <w:tcW w:type="dxa" w:w="38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Complete matched sets only</w:t>
            </w:r>
          </w:p>
        </w:tc>
        <w:tc>
          <w:tcPr>
            <w:tcW w:type="dxa" w:w="174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66/2138</w:t>
            </w:r>
          </w:p>
        </w:tc>
        <w:tc>
          <w:tcPr>
            <w:tcW w:type="dxa" w:w="19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61/4954</w:t>
            </w:r>
          </w:p>
        </w:tc>
        <w:tc>
          <w:tcPr>
            <w:tcW w:type="dxa" w:w="18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2.06 (1.46 to 2.92)</w:t>
            </w:r>
          </w:p>
        </w:tc>
      </w:tr>
      <w:tr>
        <w:trPr>
          <w:tblHeader w:val="false"/>
        </w:trPr>
        <w:tc>
          <w:tcPr>
            <w:tcW w:type="dxa" w:w="38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Age 18 years or older at index</w:t>
            </w:r>
          </w:p>
        </w:tc>
        <w:tc>
          <w:tcPr>
            <w:tcW w:type="dxa" w:w="174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64/2076</w:t>
            </w:r>
          </w:p>
        </w:tc>
        <w:tc>
          <w:tcPr>
            <w:tcW w:type="dxa" w:w="19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63/5699</w:t>
            </w:r>
          </w:p>
        </w:tc>
        <w:tc>
          <w:tcPr>
            <w:tcW w:type="dxa" w:w="18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2.26 (1.59 to 3.20)</w:t>
            </w:r>
          </w:p>
        </w:tc>
      </w:tr>
      <w:tr>
        <w:trPr>
          <w:tblHeader w:val="false"/>
        </w:trPr>
        <w:tc>
          <w:tcPr>
            <w:tcW w:type="dxa" w:w="38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Landmark: first 30 days excluded</w:t>
            </w:r>
          </w:p>
        </w:tc>
        <w:tc>
          <w:tcPr>
            <w:tcW w:type="dxa" w:w="174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62</w:t>
            </w:r>
          </w:p>
        </w:tc>
        <w:tc>
          <w:tcPr>
            <w:tcW w:type="dxa" w:w="19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53</w:t>
            </w:r>
          </w:p>
        </w:tc>
        <w:tc>
          <w:tcPr>
            <w:tcW w:type="dxa" w:w="18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2.49 (1.73 to 3.58)</w:t>
            </w:r>
          </w:p>
        </w:tc>
      </w:tr>
      <w:tr>
        <w:trPr>
          <w:tblHeader w:val="false"/>
        </w:trPr>
        <w:tc>
          <w:tcPr>
            <w:tcW w:type="dxa" w:w="38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Landmark: first 90 days excluded</w:t>
            </w:r>
          </w:p>
        </w:tc>
        <w:tc>
          <w:tcPr>
            <w:tcW w:type="dxa" w:w="174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49</w:t>
            </w:r>
          </w:p>
        </w:tc>
        <w:tc>
          <w:tcPr>
            <w:tcW w:type="dxa" w:w="19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44</w:t>
            </w:r>
          </w:p>
        </w:tc>
        <w:tc>
          <w:tcPr>
            <w:tcW w:type="dxa" w:w="18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2.29 (1.54 to 3.41)</w:t>
            </w:r>
          </w:p>
        </w:tc>
      </w:tr>
      <w:tr>
        <w:trPr>
          <w:tblHeader w:val="false"/>
        </w:trPr>
        <w:tc>
          <w:tcPr>
            <w:tcW w:type="dxa" w:w="38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Landmark: first 180 days excluded</w:t>
            </w:r>
          </w:p>
        </w:tc>
        <w:tc>
          <w:tcPr>
            <w:tcW w:type="dxa" w:w="174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39</w:t>
            </w:r>
          </w:p>
        </w:tc>
        <w:tc>
          <w:tcPr>
            <w:tcW w:type="dxa" w:w="19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35</w:t>
            </w:r>
          </w:p>
        </w:tc>
        <w:tc>
          <w:tcPr>
            <w:tcW w:type="dxa" w:w="18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2.22 (1.40 to 3.51)</w:t>
            </w:r>
          </w:p>
        </w:tc>
      </w:tr>
      <w:tr>
        <w:trPr>
          <w:tblHeader w:val="false"/>
        </w:trPr>
        <w:tc>
          <w:tcPr>
            <w:tcW w:type="dxa" w:w="38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Fine-Gray subdistribution hazard</w:t>
            </w:r>
          </w:p>
        </w:tc>
        <w:tc>
          <w:tcPr>
            <w:tcW w:type="dxa" w:w="174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—</w:t>
            </w:r>
          </w:p>
        </w:tc>
        <w:tc>
          <w:tcPr>
            <w:tcW w:type="dxa" w:w="19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—</w:t>
            </w:r>
          </w:p>
        </w:tc>
        <w:tc>
          <w:tcPr>
            <w:tcW w:type="dxa" w:w="18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2.28 (1.62 to 3.22)</w:t>
            </w:r>
          </w:p>
        </w:tc>
      </w:tr>
      <w:tr>
        <w:trPr>
          <w:tblHeader w:val="false"/>
        </w:trPr>
        <w:tc>
          <w:tcPr>
            <w:tcW w:type="dxa" w:w="38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Overlap-weighted</w:t>
            </w:r>
          </w:p>
        </w:tc>
        <w:tc>
          <w:tcPr>
            <w:tcW w:type="dxa" w:w="174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—</w:t>
            </w:r>
          </w:p>
        </w:tc>
        <w:tc>
          <w:tcPr>
            <w:tcW w:type="dxa" w:w="19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—</w:t>
            </w:r>
          </w:p>
        </w:tc>
        <w:tc>
          <w:tcPr>
            <w:tcW w:type="dxa" w:w="18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2.31 (1.56 to 3.43)</w:t>
            </w:r>
          </w:p>
        </w:tc>
      </w:tr>
      <w:tr>
        <w:trPr>
          <w:tblHeader w:val="false"/>
        </w:trPr>
        <w:tc>
          <w:tcPr>
            <w:tcW w:type="dxa" w:w="38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Adjusted for OSA, hypertension and PCOS</w:t>
            </w:r>
          </w:p>
        </w:tc>
        <w:tc>
          <w:tcPr>
            <w:tcW w:type="dxa" w:w="174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—</w:t>
            </w:r>
          </w:p>
        </w:tc>
        <w:tc>
          <w:tcPr>
            <w:tcW w:type="dxa" w:w="19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—</w:t>
            </w:r>
          </w:p>
        </w:tc>
        <w:tc>
          <w:tcPr>
            <w:tcW w:type="dxa" w:w="18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2.11 (1.48 to 3.01)</w:t>
            </w:r>
          </w:p>
        </w:tc>
      </w:tr>
    </w:tbl>
    <w:p>
      <w:pPr>
        <w:spacing w:after="260" w:before="90"/>
      </w:pPr>
      <w:r>
        <w:rPr>
          <w:rFonts w:ascii="Times New Roman" w:cs="Times New Roman" w:eastAsia="Times New Roman" w:hAnsi="Times New Roman"/>
          <w:i/>
          <w:iCs/>
          <w:color w:val="595959"/>
          <w:sz w:val="17"/>
          <w:szCs w:val="17"/>
        </w:rPr>
        <w:t xml:space="preserve">All models are Cox proportional-hazards models with a robust variance clustered by matched set. Primary analysis: incidence 14.46 (95% CI 11.19-18.40) versus 6.72 (5.16-8.60) per 1,000 person-years over 4,563.0 and 9,375.2 person-years; 3-year cumulative incidence 3.83% versus 1.71%, absolute difference 2.12 percentage points; proportional-hazards p = 0.94. Cause-specific hazard ratio for death 0.61 (0.29-1.29). Sources: K_T38, Z_T01, Z_T07, SAP_T3b, SAP_T4, SAP_T6, Z_T04.</w:t>
      </w:r>
    </w:p>
    <w:p>
      <w:pPr>
        <w:spacing w:after="120" w:before="36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Table 3.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Negative-control outcomes: baseline imbalance, post-index association and unadjusted rate ratios.</w:t>
      </w:r>
    </w:p>
    <w:tbl>
      <w:tblPr>
        <w:tblW w:type="dxa" w:w="9360"/>
        <w:tblBorders>
          <w:top w:val="single" w:color="404040" w:sz="6"/>
          <w:left w:val="none"/>
          <w:bottom w:val="single" w:color="404040" w:sz="6"/>
          <w:right w:val="none"/>
          <w:insideH w:val="single" w:color="CCCCCC" w:sz="2"/>
          <w:insideV w:val="none"/>
        </w:tblBorders>
      </w:tblPr>
      <w:tblGrid>
        <w:gridCol w:w="3260"/>
        <w:gridCol w:w="2100"/>
        <w:gridCol w:w="2200"/>
        <w:gridCol w:w="1800"/>
      </w:tblGrid>
      <w:tr>
        <w:trPr>
          <w:tblHeader/>
        </w:trPr>
        <w:tc>
          <w:tcPr>
            <w:tcW w:type="dxa" w:w="3260"/>
            <w:shd w:fill="EDF1F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Outcome</w:t>
            </w:r>
          </w:p>
        </w:tc>
        <w:tc>
          <w:tcPr>
            <w:tcW w:type="dxa" w:w="2100"/>
            <w:shd w:fill="EDF1F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Baseline prevalence ratio</w:t>
            </w:r>
          </w:p>
        </w:tc>
        <w:tc>
          <w:tcPr>
            <w:tcW w:type="dxa" w:w="2200"/>
            <w:shd w:fill="EDF1F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Post-index HR (95% CI)</w:t>
            </w:r>
          </w:p>
        </w:tc>
        <w:tc>
          <w:tcPr>
            <w:tcW w:type="dxa" w:w="1800"/>
            <w:shd w:fill="EDF1F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Unadjusted rate ratio (95% CI)</w:t>
            </w:r>
          </w:p>
        </w:tc>
      </w:tr>
      <w:tr>
        <w:trPr>
          <w:tblHeader w:val="false"/>
        </w:trPr>
        <w:tc>
          <w:tcPr>
            <w:tcW w:type="dxa" w:w="32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Herpes zoster</w:t>
            </w:r>
          </w:p>
        </w:tc>
        <w:tc>
          <w:tcPr>
            <w:tcW w:type="dxa" w:w="2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3.24</w:t>
            </w:r>
          </w:p>
        </w:tc>
        <w:tc>
          <w:tcPr>
            <w:tcW w:type="dxa" w:w="22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2.98 (1.41 to 6.32)</w:t>
            </w:r>
          </w:p>
        </w:tc>
        <w:tc>
          <w:tcPr>
            <w:tcW w:type="dxa" w:w="18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2.92 (1.39 to 6.11)</w:t>
            </w:r>
          </w:p>
        </w:tc>
      </w:tr>
      <w:tr>
        <w:trPr>
          <w:tblHeader w:val="false"/>
        </w:trPr>
        <w:tc>
          <w:tcPr>
            <w:tcW w:type="dxa" w:w="32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Renal/ureteric stone</w:t>
            </w:r>
          </w:p>
        </w:tc>
        <w:tc>
          <w:tcPr>
            <w:tcW w:type="dxa" w:w="2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2.04</w:t>
            </w:r>
          </w:p>
        </w:tc>
        <w:tc>
          <w:tcPr>
            <w:tcW w:type="dxa" w:w="22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3.09 (2.09 to 4.56)</w:t>
            </w:r>
          </w:p>
        </w:tc>
        <w:tc>
          <w:tcPr>
            <w:tcW w:type="dxa" w:w="18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3.00 (2.04 to 4.42)</w:t>
            </w:r>
          </w:p>
        </w:tc>
      </w:tr>
      <w:tr>
        <w:trPr>
          <w:tblHeader w:val="false"/>
        </w:trPr>
        <w:tc>
          <w:tcPr>
            <w:tcW w:type="dxa" w:w="32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Gallstones</w:t>
            </w:r>
          </w:p>
        </w:tc>
        <w:tc>
          <w:tcPr>
            <w:tcW w:type="dxa" w:w="2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1.58</w:t>
            </w:r>
          </w:p>
        </w:tc>
        <w:tc>
          <w:tcPr>
            <w:tcW w:type="dxa" w:w="22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2.00 (1.29 to 3.11)</w:t>
            </w:r>
          </w:p>
        </w:tc>
        <w:tc>
          <w:tcPr>
            <w:tcW w:type="dxa" w:w="18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2.02 (1.30 to 3.14)</w:t>
            </w:r>
          </w:p>
        </w:tc>
      </w:tr>
      <w:tr>
        <w:trPr>
          <w:tblHeader w:val="false"/>
        </w:trPr>
        <w:tc>
          <w:tcPr>
            <w:tcW w:type="dxa" w:w="32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Acute appendicitis</w:t>
            </w:r>
          </w:p>
        </w:tc>
        <w:tc>
          <w:tcPr>
            <w:tcW w:type="dxa" w:w="2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2.27</w:t>
            </w:r>
          </w:p>
        </w:tc>
        <w:tc>
          <w:tcPr>
            <w:tcW w:type="dxa" w:w="22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1.06 (0.32 to 3.50)</w:t>
            </w:r>
          </w:p>
        </w:tc>
        <w:tc>
          <w:tcPr>
            <w:tcW w:type="dxa" w:w="18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1.02 (0.31 to 3.39)</w:t>
            </w:r>
          </w:p>
        </w:tc>
      </w:tr>
      <w:tr>
        <w:trPr>
          <w:tblHeader w:val="false"/>
        </w:trPr>
        <w:tc>
          <w:tcPr>
            <w:tcW w:type="dxa" w:w="32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Carpal tunnel</w:t>
            </w:r>
          </w:p>
        </w:tc>
        <w:tc>
          <w:tcPr>
            <w:tcW w:type="dxa" w:w="2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2.54</w:t>
            </w:r>
          </w:p>
        </w:tc>
        <w:tc>
          <w:tcPr>
            <w:tcW w:type="dxa" w:w="22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2.84 (1.77 to 4.57)</w:t>
            </w:r>
          </w:p>
        </w:tc>
        <w:tc>
          <w:tcPr>
            <w:tcW w:type="dxa" w:w="18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2.90 (1.80 to 4.67)</w:t>
            </w:r>
          </w:p>
        </w:tc>
      </w:tr>
      <w:tr>
        <w:trPr>
          <w:tblHeader w:val="false"/>
        </w:trPr>
        <w:tc>
          <w:tcPr>
            <w:tcW w:type="dxa" w:w="32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Upper respiratory infection</w:t>
            </w:r>
          </w:p>
        </w:tc>
        <w:tc>
          <w:tcPr>
            <w:tcW w:type="dxa" w:w="2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2.03</w:t>
            </w:r>
          </w:p>
        </w:tc>
        <w:tc>
          <w:tcPr>
            <w:tcW w:type="dxa" w:w="22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2.02 (1.65 to 2.48)</w:t>
            </w:r>
          </w:p>
        </w:tc>
        <w:tc>
          <w:tcPr>
            <w:tcW w:type="dxa" w:w="18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2.00 (1.63 to 2.44)</w:t>
            </w:r>
          </w:p>
        </w:tc>
      </w:tr>
      <w:tr>
        <w:trPr>
          <w:tblHeader w:val="false"/>
        </w:trPr>
        <w:tc>
          <w:tcPr>
            <w:tcW w:type="dxa" w:w="32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Otitis media or externa</w:t>
            </w:r>
          </w:p>
        </w:tc>
        <w:tc>
          <w:tcPr>
            <w:tcW w:type="dxa" w:w="2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3.68</w:t>
            </w:r>
          </w:p>
        </w:tc>
        <w:tc>
          <w:tcPr>
            <w:tcW w:type="dxa" w:w="22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3.09 (2.15 to 4.43)</w:t>
            </w:r>
          </w:p>
        </w:tc>
        <w:tc>
          <w:tcPr>
            <w:tcW w:type="dxa" w:w="18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3.06 (2.14 to 4.38)</w:t>
            </w:r>
          </w:p>
        </w:tc>
      </w:tr>
      <w:tr>
        <w:trPr>
          <w:tblHeader w:val="false"/>
        </w:trPr>
        <w:tc>
          <w:tcPr>
            <w:tcW w:type="dxa" w:w="32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Sprain or strain</w:t>
            </w:r>
          </w:p>
        </w:tc>
        <w:tc>
          <w:tcPr>
            <w:tcW w:type="dxa" w:w="2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2.84</w:t>
            </w:r>
          </w:p>
        </w:tc>
        <w:tc>
          <w:tcPr>
            <w:tcW w:type="dxa" w:w="22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2.47 (1.67 to 3.67)</w:t>
            </w:r>
          </w:p>
        </w:tc>
        <w:tc>
          <w:tcPr>
            <w:tcW w:type="dxa" w:w="18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2.44 (1.65 to 3.61)</w:t>
            </w:r>
          </w:p>
        </w:tc>
      </w:tr>
      <w:tr>
        <w:trPr>
          <w:tblHeader w:val="false"/>
        </w:trPr>
        <w:tc>
          <w:tcPr>
            <w:tcW w:type="dxa" w:w="32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Laceration or open wound</w:t>
            </w:r>
          </w:p>
        </w:tc>
        <w:tc>
          <w:tcPr>
            <w:tcW w:type="dxa" w:w="2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4.97</w:t>
            </w:r>
          </w:p>
        </w:tc>
        <w:tc>
          <w:tcPr>
            <w:tcW w:type="dxa" w:w="22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4.28 (2.37 to 7.75)</w:t>
            </w:r>
          </w:p>
        </w:tc>
        <w:tc>
          <w:tcPr>
            <w:tcW w:type="dxa" w:w="18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4.31 (2.37 to 7.83)</w:t>
            </w:r>
          </w:p>
        </w:tc>
      </w:tr>
      <w:tr>
        <w:trPr>
          <w:tblHeader w:val="false"/>
        </w:trPr>
        <w:tc>
          <w:tcPr>
            <w:tcW w:type="dxa" w:w="32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Contact dermatitis</w:t>
            </w:r>
          </w:p>
        </w:tc>
        <w:tc>
          <w:tcPr>
            <w:tcW w:type="dxa" w:w="2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2.55</w:t>
            </w:r>
          </w:p>
        </w:tc>
        <w:tc>
          <w:tcPr>
            <w:tcW w:type="dxa" w:w="22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1.85 (0.98 to 3.50)</w:t>
            </w:r>
          </w:p>
        </w:tc>
        <w:tc>
          <w:tcPr>
            <w:tcW w:type="dxa" w:w="18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1.85 (0.98 to 3.49)</w:t>
            </w:r>
          </w:p>
        </w:tc>
      </w:tr>
      <w:tr>
        <w:trPr>
          <w:tblHeader w:val="false"/>
        </w:trPr>
        <w:tc>
          <w:tcPr>
            <w:tcW w:type="dxa" w:w="32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Fracture, excluding skull/face</w:t>
            </w:r>
          </w:p>
        </w:tc>
        <w:tc>
          <w:tcPr>
            <w:tcW w:type="dxa" w:w="2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1.82</w:t>
            </w:r>
          </w:p>
        </w:tc>
        <w:tc>
          <w:tcPr>
            <w:tcW w:type="dxa" w:w="22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1.22 (0.76 to 1.98)</w:t>
            </w:r>
          </w:p>
        </w:tc>
        <w:tc>
          <w:tcPr>
            <w:tcW w:type="dxa" w:w="18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2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Seizure or epilepsy (primary outcome)</w:t>
            </w:r>
          </w:p>
        </w:tc>
        <w:tc>
          <w:tcPr>
            <w:tcW w:type="dxa" w:w="2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—</w:t>
            </w:r>
          </w:p>
        </w:tc>
        <w:tc>
          <w:tcPr>
            <w:tcW w:type="dxa" w:w="22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2.28 (1.62 to 3.22)</w:t>
            </w:r>
          </w:p>
        </w:tc>
        <w:tc>
          <w:tcPr>
            <w:tcW w:type="dxa" w:w="18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15" w:before="15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2.15 (1.52 to 3.04)</w:t>
            </w:r>
          </w:p>
        </w:tc>
      </w:tr>
    </w:tbl>
    <w:p>
      <w:pPr>
        <w:spacing w:after="260" w:before="90"/>
      </w:pPr>
      <w:r>
        <w:rPr>
          <w:rFonts w:ascii="Times New Roman" w:cs="Times New Roman" w:eastAsia="Times New Roman" w:hAnsi="Times New Roman"/>
          <w:i/>
          <w:iCs/>
          <w:color w:val="595959"/>
          <w:sz w:val="17"/>
          <w:szCs w:val="17"/>
        </w:rPr>
        <w:t xml:space="preserve">All 11 negative-control outcomes were more prevalent in the IIH group before the index date (prevalence ratios 1.6-5.0, all p &lt; 0.01); none met the prespecified balance criterion, so the panel does not support a specificity claim. Eight of 11 had post-index confidence intervals excluding 1. On unadjusted rate ratios the primary outcome (2.15) was lower than 6 of the 11 controls. Empirical calibration: r = 0.66, p = 0.026; predicted detection-only hazard ratio at baseline balance 1.04 (95% CI 0.37-2.90), an interval that includes the observed estimate. Sources: K_T42, K_T45, K_T55, K_T48.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Tables</dc:title>
  <dc:creator>Selim Tarabeah</dc:creator>
  <cp:lastModifiedBy>Un-named</cp:lastModifiedBy>
  <cp:revision>1</cp:revision>
  <dcterms:created xsi:type="dcterms:W3CDTF">2026-09-25T15:49:08.983Z</dcterms:created>
  <dcterms:modified xsi:type="dcterms:W3CDTF">2026-09-25T15:49:08.983Z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